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4DEEA5">
      <w:pPr>
        <w:rPr>
          <w:sz w:val="20"/>
          <w:szCs w:val="20"/>
        </w:rPr>
        <w:sectPr>
          <w:headerReference r:id="rId6" w:type="first"/>
          <w:footerReference r:id="rId8" w:type="first"/>
          <w:headerReference r:id="rId5" w:type="default"/>
          <w:footerReference r:id="rId7" w:type="default"/>
          <w:pgSz w:w="11906" w:h="16838"/>
          <w:pgMar w:top="1134" w:right="1418" w:bottom="1701" w:left="1418" w:header="1126" w:footer="851" w:gutter="0"/>
          <w:cols w:space="708" w:num="1"/>
          <w:docGrid w:linePitch="360" w:charSpace="0"/>
        </w:sectPr>
      </w:pPr>
    </w:p>
    <w:p w14:paraId="3642D1CD">
      <w:pPr>
        <w:rPr>
          <w:sz w:val="20"/>
          <w:szCs w:val="20"/>
        </w:rPr>
      </w:pPr>
    </w:p>
    <w:p w14:paraId="133B58A1">
      <w:pPr>
        <w:rPr>
          <w:sz w:val="20"/>
          <w:szCs w:val="20"/>
        </w:rPr>
      </w:pPr>
    </w:p>
    <w:p w14:paraId="14D9D8AF">
      <w:pPr>
        <w:jc w:val="center"/>
        <w:rPr>
          <w:rStyle w:val="15"/>
          <w:sz w:val="20"/>
          <w:szCs w:val="20"/>
        </w:rPr>
      </w:pPr>
    </w:p>
    <w:p w14:paraId="35E779CC">
      <w:pPr>
        <w:jc w:val="center"/>
        <w:rPr>
          <w:rStyle w:val="15"/>
          <w:sz w:val="20"/>
          <w:szCs w:val="20"/>
        </w:rPr>
      </w:pPr>
      <w:r>
        <w:rPr>
          <w:rStyle w:val="15"/>
          <w:sz w:val="20"/>
          <w:szCs w:val="20"/>
        </w:rPr>
        <w:t>MARCHÉ PUBLIC DE SERVICES</w:t>
      </w:r>
    </w:p>
    <w:p w14:paraId="2B190652">
      <w:pPr>
        <w:jc w:val="center"/>
        <w:rPr>
          <w:rStyle w:val="15"/>
          <w:sz w:val="20"/>
          <w:szCs w:val="20"/>
        </w:rPr>
      </w:pPr>
      <w:r>
        <w:rPr>
          <w:rStyle w:val="15"/>
          <w:sz w:val="20"/>
          <w:szCs w:val="20"/>
        </w:rPr>
        <w:t>Procédure adaptée</w:t>
      </w:r>
    </w:p>
    <w:p w14:paraId="7A722723">
      <w:pPr>
        <w:jc w:val="center"/>
        <w:rPr>
          <w:sz w:val="20"/>
          <w:szCs w:val="20"/>
        </w:rPr>
      </w:pPr>
    </w:p>
    <w:p w14:paraId="56FD2BA2">
      <w:pPr>
        <w:pStyle w:val="16"/>
        <w:spacing w:before="0" w:after="0"/>
        <w:rPr>
          <w:sz w:val="20"/>
          <w:szCs w:val="20"/>
        </w:rPr>
      </w:pPr>
      <w:bookmarkStart w:id="0" w:name="_Hlk178169239"/>
      <w:bookmarkStart w:id="1" w:name="_Hlk177049246"/>
      <w:r>
        <w:rPr>
          <w:sz w:val="20"/>
          <w:szCs w:val="20"/>
        </w:rPr>
        <w:t>PRESTATION DE FORMATIO</w:t>
      </w:r>
      <w:r>
        <w:rPr>
          <w:rFonts w:hint="default"/>
          <w:sz w:val="20"/>
          <w:szCs w:val="20"/>
          <w:lang w:val="fr-FR"/>
        </w:rPr>
        <w:t>N</w:t>
      </w:r>
      <w:bookmarkEnd w:id="0"/>
      <w:bookmarkEnd w:id="1"/>
      <w:r>
        <w:rPr>
          <w:sz w:val="20"/>
          <w:szCs w:val="20"/>
        </w:rPr>
        <w:t xml:space="preserve"> </w:t>
      </w:r>
    </w:p>
    <w:p w14:paraId="0C60B349"/>
    <w:p w14:paraId="1C5CBDD7">
      <w:pPr>
        <w:pStyle w:val="16"/>
        <w:spacing w:before="0" w:after="0"/>
        <w:rPr>
          <w:rFonts w:hint="default"/>
          <w:sz w:val="20"/>
          <w:szCs w:val="20"/>
          <w:lang w:val="fr-FR"/>
        </w:rPr>
      </w:pPr>
      <w:r>
        <w:rPr>
          <w:rFonts w:hint="default"/>
          <w:sz w:val="20"/>
          <w:szCs w:val="20"/>
          <w:lang w:val="fr-FR"/>
        </w:rPr>
        <w:t>INITIATION A L’ARCHIVISME</w:t>
      </w:r>
    </w:p>
    <w:p w14:paraId="65E65BD5"/>
    <w:p w14:paraId="235F4BCC">
      <w:pPr>
        <w:pStyle w:val="16"/>
        <w:rPr>
          <w:rStyle w:val="15"/>
          <w:b w:val="0"/>
          <w:iCs w:val="0"/>
          <w:sz w:val="20"/>
          <w:szCs w:val="20"/>
        </w:rPr>
      </w:pPr>
      <w:r>
        <w:rPr>
          <w:rStyle w:val="15"/>
          <w:b w:val="0"/>
          <w:iCs w:val="0"/>
          <w:sz w:val="20"/>
          <w:szCs w:val="20"/>
        </w:rPr>
        <w:t>CAHIER DES CLAUSES PARTICULIÈRES VALANT ACTE D’ENGAGEMENT (CCP-AE)</w:t>
      </w:r>
    </w:p>
    <w:p w14:paraId="4E3D02BF">
      <w:pPr>
        <w:rPr>
          <w:rStyle w:val="15"/>
          <w:sz w:val="20"/>
          <w:szCs w:val="20"/>
        </w:rPr>
      </w:pPr>
    </w:p>
    <w:p w14:paraId="410CD828">
      <w:pPr>
        <w:jc w:val="center"/>
        <w:rPr>
          <w:rFonts w:hint="default"/>
          <w:sz w:val="20"/>
          <w:szCs w:val="20"/>
          <w:lang w:val="fr-FR"/>
        </w:rPr>
      </w:pPr>
      <w:r>
        <w:rPr>
          <w:rStyle w:val="15"/>
          <w:sz w:val="20"/>
          <w:szCs w:val="20"/>
        </w:rPr>
        <w:t>GBM N° 2</w:t>
      </w:r>
      <w:r>
        <w:rPr>
          <w:rStyle w:val="15"/>
          <w:rFonts w:hint="default"/>
          <w:sz w:val="20"/>
          <w:szCs w:val="20"/>
          <w:lang w:val="fr-FR"/>
        </w:rPr>
        <w:t>6018</w:t>
      </w:r>
    </w:p>
    <w:p w14:paraId="6E355B8A">
      <w:pPr>
        <w:rPr>
          <w:sz w:val="20"/>
          <w:szCs w:val="20"/>
        </w:rPr>
      </w:pPr>
    </w:p>
    <w:p w14:paraId="10059F98">
      <w:pPr>
        <w:pBdr>
          <w:top w:val="single" w:color="auto" w:sz="4" w:space="1"/>
          <w:left w:val="single" w:color="auto" w:sz="4" w:space="4"/>
          <w:bottom w:val="single" w:color="auto" w:sz="4" w:space="1"/>
          <w:right w:val="single" w:color="auto" w:sz="4" w:space="4"/>
        </w:pBdr>
        <w:jc w:val="center"/>
        <w:rPr>
          <w:sz w:val="20"/>
          <w:szCs w:val="20"/>
        </w:rPr>
      </w:pPr>
      <w:r>
        <w:rPr>
          <w:sz w:val="20"/>
          <w:szCs w:val="20"/>
        </w:rPr>
        <w:t>Marché n°</w:t>
      </w:r>
    </w:p>
    <w:p w14:paraId="6C9585F5">
      <w:pPr>
        <w:pBdr>
          <w:top w:val="single" w:color="auto" w:sz="4" w:space="1"/>
          <w:left w:val="single" w:color="auto" w:sz="4" w:space="4"/>
          <w:bottom w:val="single" w:color="auto" w:sz="4" w:space="1"/>
          <w:right w:val="single" w:color="auto" w:sz="4" w:space="4"/>
        </w:pBdr>
        <w:jc w:val="center"/>
        <w:rPr>
          <w:sz w:val="20"/>
          <w:szCs w:val="20"/>
        </w:rPr>
      </w:pPr>
    </w:p>
    <w:p w14:paraId="38CE5A13">
      <w:pPr>
        <w:pBdr>
          <w:top w:val="single" w:color="auto" w:sz="4" w:space="1"/>
          <w:left w:val="single" w:color="auto" w:sz="4" w:space="4"/>
          <w:bottom w:val="single" w:color="auto" w:sz="4" w:space="1"/>
          <w:right w:val="single" w:color="auto" w:sz="4" w:space="4"/>
        </w:pBdr>
        <w:jc w:val="center"/>
        <w:rPr>
          <w:sz w:val="20"/>
          <w:szCs w:val="20"/>
        </w:rPr>
      </w:pPr>
    </w:p>
    <w:p w14:paraId="42C83168">
      <w:pPr>
        <w:pBdr>
          <w:top w:val="single" w:color="auto" w:sz="4" w:space="1"/>
          <w:left w:val="single" w:color="auto" w:sz="4" w:space="4"/>
          <w:bottom w:val="single" w:color="auto" w:sz="4" w:space="1"/>
          <w:right w:val="single" w:color="auto" w:sz="4" w:space="4"/>
        </w:pBdr>
        <w:jc w:val="center"/>
        <w:rPr>
          <w:sz w:val="20"/>
          <w:szCs w:val="20"/>
        </w:rPr>
      </w:pPr>
    </w:p>
    <w:p w14:paraId="17494C13">
      <w:pPr>
        <w:jc w:val="center"/>
        <w:rPr>
          <w:sz w:val="20"/>
          <w:szCs w:val="20"/>
        </w:rPr>
      </w:pPr>
    </w:p>
    <w:p w14:paraId="08061916">
      <w:pPr>
        <w:jc w:val="center"/>
        <w:rPr>
          <w:sz w:val="20"/>
          <w:szCs w:val="20"/>
        </w:rPr>
      </w:pPr>
    </w:p>
    <w:p w14:paraId="332C3435">
      <w:pPr>
        <w:pStyle w:val="64"/>
        <w:shd w:val="clear" w:color="auto" w:fill="C2E0EB" w:themeFill="accent5" w:themeFillTint="66"/>
        <w:jc w:val="center"/>
        <w:rPr>
          <w:b/>
          <w:bCs/>
          <w:sz w:val="20"/>
          <w:szCs w:val="20"/>
        </w:rPr>
      </w:pPr>
      <w:r>
        <w:rPr>
          <w:b/>
          <w:bCs/>
          <w:sz w:val="20"/>
          <w:szCs w:val="20"/>
        </w:rPr>
        <w:t>Service responsable de la passation du marché :</w:t>
      </w:r>
    </w:p>
    <w:p w14:paraId="41DBB10B">
      <w:pPr>
        <w:pStyle w:val="64"/>
        <w:shd w:val="clear" w:color="auto" w:fill="C2E0EB" w:themeFill="accent5" w:themeFillTint="66"/>
        <w:jc w:val="center"/>
        <w:rPr>
          <w:sz w:val="20"/>
          <w:szCs w:val="20"/>
        </w:rPr>
      </w:pPr>
      <w:r>
        <w:rPr>
          <w:sz w:val="20"/>
          <w:szCs w:val="20"/>
        </w:rPr>
        <w:t>Secrétariat Général</w:t>
      </w:r>
    </w:p>
    <w:p w14:paraId="2423BA08">
      <w:pPr>
        <w:pStyle w:val="64"/>
        <w:shd w:val="clear" w:color="auto" w:fill="C2E0EB" w:themeFill="accent5" w:themeFillTint="66"/>
        <w:jc w:val="center"/>
        <w:rPr>
          <w:sz w:val="20"/>
          <w:szCs w:val="20"/>
        </w:rPr>
      </w:pPr>
      <w:r>
        <w:rPr>
          <w:sz w:val="20"/>
          <w:szCs w:val="20"/>
        </w:rPr>
        <w:t>Service des Achats et des Marchés</w:t>
      </w:r>
    </w:p>
    <w:p w14:paraId="09A47FE1">
      <w:pPr>
        <w:pStyle w:val="64"/>
        <w:shd w:val="clear" w:color="auto" w:fill="C2E0EB" w:themeFill="accent5" w:themeFillTint="66"/>
        <w:jc w:val="center"/>
        <w:rPr>
          <w:sz w:val="20"/>
          <w:szCs w:val="20"/>
        </w:rPr>
      </w:pPr>
      <w:r>
        <w:rPr>
          <w:sz w:val="20"/>
          <w:szCs w:val="20"/>
        </w:rPr>
        <w:t>Département des marchés</w:t>
      </w:r>
    </w:p>
    <w:p w14:paraId="06CA8C58">
      <w:pPr>
        <w:pStyle w:val="64"/>
        <w:shd w:val="clear" w:color="auto" w:fill="C2E0EB" w:themeFill="accent5" w:themeFillTint="66"/>
        <w:jc w:val="center"/>
        <w:rPr>
          <w:sz w:val="20"/>
          <w:szCs w:val="20"/>
        </w:rPr>
      </w:pPr>
      <w:r>
        <w:rPr>
          <w:sz w:val="20"/>
          <w:szCs w:val="20"/>
        </w:rPr>
        <w:t>73 avenue de Paris</w:t>
      </w:r>
    </w:p>
    <w:p w14:paraId="73F8F76D">
      <w:pPr>
        <w:pStyle w:val="64"/>
        <w:shd w:val="clear" w:color="auto" w:fill="C2E0EB" w:themeFill="accent5" w:themeFillTint="66"/>
        <w:jc w:val="center"/>
        <w:rPr>
          <w:sz w:val="20"/>
          <w:szCs w:val="20"/>
        </w:rPr>
      </w:pPr>
      <w:r>
        <w:rPr>
          <w:sz w:val="20"/>
          <w:szCs w:val="20"/>
        </w:rPr>
        <w:t>94165 Saint-Mandé CEDEX</w:t>
      </w:r>
    </w:p>
    <w:p w14:paraId="5E8D31A6">
      <w:pPr>
        <w:rPr>
          <w:sz w:val="20"/>
          <w:szCs w:val="20"/>
        </w:rPr>
      </w:pPr>
    </w:p>
    <w:p w14:paraId="1D34480B">
      <w:pPr>
        <w:rPr>
          <w:sz w:val="20"/>
          <w:szCs w:val="20"/>
        </w:rPr>
      </w:pPr>
    </w:p>
    <w:p w14:paraId="51BF799C">
      <w:pPr>
        <w:rPr>
          <w:sz w:val="20"/>
          <w:szCs w:val="20"/>
        </w:rPr>
      </w:pPr>
    </w:p>
    <w:p w14:paraId="29CD0F0F">
      <w:pPr>
        <w:rPr>
          <w:sz w:val="20"/>
          <w:szCs w:val="20"/>
        </w:rPr>
      </w:pPr>
      <w:r>
        <w:rPr>
          <w:sz w:val="20"/>
          <w:szCs w:val="20"/>
        </w:rPr>
        <w:br w:type="page"/>
      </w:r>
    </w:p>
    <w:p w14:paraId="40A1E3AD">
      <w:pPr>
        <w:pStyle w:val="2"/>
        <w:pageBreakBefore/>
        <w:ind w:left="431" w:hanging="431"/>
        <w:rPr>
          <w:sz w:val="20"/>
          <w:szCs w:val="20"/>
        </w:rPr>
      </w:pPr>
      <w:r>
        <w:rPr>
          <w:sz w:val="20"/>
          <w:szCs w:val="20"/>
        </w:rPr>
        <w:t>IDENTIFICATION DES PARTIES</w:t>
      </w:r>
    </w:p>
    <w:p w14:paraId="04C12612">
      <w:pPr>
        <w:pStyle w:val="3"/>
        <w:ind w:left="796" w:leftChars="0" w:firstLineChars="0"/>
        <w:rPr>
          <w:sz w:val="20"/>
          <w:szCs w:val="20"/>
        </w:rPr>
      </w:pPr>
      <w:r>
        <w:rPr>
          <w:sz w:val="20"/>
          <w:szCs w:val="20"/>
        </w:rPr>
        <w:t>Désignation de l’acheteur</w:t>
      </w:r>
    </w:p>
    <w:p w14:paraId="1E688A53">
      <w:pPr>
        <w:contextualSpacing/>
        <w:rPr>
          <w:sz w:val="20"/>
          <w:szCs w:val="20"/>
        </w:rPr>
      </w:pPr>
      <w:r>
        <w:rPr>
          <w:sz w:val="20"/>
          <w:szCs w:val="20"/>
        </w:rPr>
        <w:t>Institut national de l’information géographique et forestière (IGN)</w:t>
      </w:r>
    </w:p>
    <w:p w14:paraId="2B8F4315">
      <w:pPr>
        <w:contextualSpacing/>
        <w:rPr>
          <w:sz w:val="20"/>
          <w:szCs w:val="20"/>
        </w:rPr>
      </w:pPr>
      <w:bookmarkStart w:id="2" w:name="_Hlk177469089"/>
      <w:r>
        <w:rPr>
          <w:sz w:val="20"/>
          <w:szCs w:val="20"/>
        </w:rPr>
        <w:t xml:space="preserve">73, avenue de </w:t>
      </w:r>
      <w:r>
        <w:rPr>
          <w:rFonts w:hint="default"/>
          <w:sz w:val="20"/>
          <w:szCs w:val="20"/>
          <w:lang w:val="fr-FR"/>
        </w:rPr>
        <w:t>P</w:t>
      </w:r>
      <w:r>
        <w:rPr>
          <w:sz w:val="20"/>
          <w:szCs w:val="20"/>
        </w:rPr>
        <w:t>aris – 94165 Saint-Mandé</w:t>
      </w:r>
    </w:p>
    <w:bookmarkEnd w:id="2"/>
    <w:p w14:paraId="7EFAC43C">
      <w:pPr>
        <w:contextualSpacing/>
        <w:rPr>
          <w:sz w:val="20"/>
          <w:szCs w:val="20"/>
        </w:rPr>
      </w:pPr>
      <w:r>
        <w:rPr>
          <w:sz w:val="20"/>
          <w:szCs w:val="20"/>
        </w:rPr>
        <w:t xml:space="preserve">Tél. : 01 43 98 82 16 </w:t>
      </w:r>
    </w:p>
    <w:p w14:paraId="75471FB7">
      <w:pPr>
        <w:rPr>
          <w:sz w:val="20"/>
          <w:szCs w:val="20"/>
        </w:rPr>
      </w:pPr>
      <w:r>
        <w:rPr>
          <w:sz w:val="20"/>
          <w:szCs w:val="20"/>
        </w:rPr>
        <w:t xml:space="preserve">Courriel : </w:t>
      </w:r>
      <w:r>
        <w:fldChar w:fldCharType="begin"/>
      </w:r>
      <w:r>
        <w:instrText xml:space="preserve"> HYPERLINK "mailto:marches-publics@ign.fr" </w:instrText>
      </w:r>
      <w:r>
        <w:fldChar w:fldCharType="separate"/>
      </w:r>
      <w:r>
        <w:rPr>
          <w:rStyle w:val="12"/>
          <w:sz w:val="20"/>
          <w:szCs w:val="20"/>
        </w:rPr>
        <w:t>marches-publics@ign.fr</w:t>
      </w:r>
      <w:r>
        <w:rPr>
          <w:rStyle w:val="12"/>
          <w:sz w:val="20"/>
          <w:szCs w:val="20"/>
        </w:rPr>
        <w:fldChar w:fldCharType="end"/>
      </w:r>
    </w:p>
    <w:p w14:paraId="6EAD1077">
      <w:pPr>
        <w:rPr>
          <w:sz w:val="20"/>
          <w:szCs w:val="20"/>
        </w:rPr>
      </w:pPr>
      <w:r>
        <w:rPr>
          <w:sz w:val="20"/>
          <w:szCs w:val="20"/>
        </w:rPr>
        <w:t>Représentant</w:t>
      </w:r>
      <w:r>
        <w:rPr>
          <w:rFonts w:ascii="Calibri" w:hAnsi="Calibri" w:cs="Calibri"/>
          <w:sz w:val="20"/>
          <w:szCs w:val="20"/>
        </w:rPr>
        <w:t> </w:t>
      </w:r>
      <w:r>
        <w:rPr>
          <w:sz w:val="20"/>
          <w:szCs w:val="20"/>
        </w:rPr>
        <w:t>: SORIANO Sébastien, directeur général, nommé par décret du 16</w:t>
      </w:r>
      <w:r>
        <w:rPr>
          <w:rFonts w:ascii="Calibri" w:hAnsi="Calibri" w:cs="Calibri"/>
          <w:sz w:val="20"/>
          <w:szCs w:val="20"/>
        </w:rPr>
        <w:t> </w:t>
      </w:r>
      <w:r>
        <w:rPr>
          <w:sz w:val="20"/>
          <w:szCs w:val="20"/>
        </w:rPr>
        <w:t>décembre 2020 (JORF n° 0304 du 17 décembre 2020)</w:t>
      </w:r>
    </w:p>
    <w:p w14:paraId="4E34AFEB">
      <w:pPr>
        <w:pStyle w:val="3"/>
        <w:ind w:left="796" w:leftChars="0" w:firstLineChars="0"/>
        <w:rPr>
          <w:sz w:val="20"/>
          <w:szCs w:val="20"/>
        </w:rPr>
      </w:pPr>
      <w:r>
        <w:rPr>
          <w:sz w:val="20"/>
          <w:szCs w:val="20"/>
        </w:rPr>
        <w:t>Identification du titulaire</w:t>
      </w:r>
    </w:p>
    <w:p w14:paraId="7E42F432">
      <w:pPr>
        <w:rPr>
          <w:sz w:val="20"/>
          <w:szCs w:val="20"/>
        </w:rPr>
      </w:pPr>
      <w:r>
        <w:rPr>
          <w:sz w:val="20"/>
          <w:szCs w:val="20"/>
        </w:rPr>
        <w:t>Nom commercial et dénomination sociale de l’unité ou de l’établissement qui exécutera la prestation :</w:t>
      </w:r>
    </w:p>
    <w:p w14:paraId="17E52E1C">
      <w:pPr>
        <w:rPr>
          <w:sz w:val="20"/>
          <w:szCs w:val="20"/>
        </w:rPr>
      </w:pPr>
    </w:p>
    <w:p w14:paraId="4E26A311">
      <w:pPr>
        <w:rPr>
          <w:sz w:val="20"/>
          <w:szCs w:val="20"/>
        </w:rPr>
      </w:pPr>
      <w:r>
        <w:rPr>
          <w:sz w:val="20"/>
          <w:szCs w:val="20"/>
        </w:rPr>
        <w:t>Adresse postale et du siège social (si elle est différente de l’adresse postale) :</w:t>
      </w:r>
    </w:p>
    <w:p w14:paraId="37234363">
      <w:pPr>
        <w:rPr>
          <w:sz w:val="20"/>
          <w:szCs w:val="20"/>
        </w:rPr>
      </w:pPr>
    </w:p>
    <w:p w14:paraId="5EDCF9EA">
      <w:pPr>
        <w:rPr>
          <w:sz w:val="20"/>
          <w:szCs w:val="20"/>
        </w:rPr>
      </w:pPr>
      <w:r>
        <w:rPr>
          <w:sz w:val="20"/>
          <w:szCs w:val="20"/>
        </w:rPr>
        <w:t>Adresse électronique :</w:t>
      </w:r>
    </w:p>
    <w:p w14:paraId="6A536ABF">
      <w:pPr>
        <w:rPr>
          <w:sz w:val="20"/>
          <w:szCs w:val="20"/>
        </w:rPr>
      </w:pPr>
      <w:r>
        <w:rPr>
          <w:sz w:val="20"/>
          <w:szCs w:val="20"/>
        </w:rPr>
        <w:t>Numéros de téléphone :</w:t>
      </w:r>
    </w:p>
    <w:p w14:paraId="43AB01B4">
      <w:pPr>
        <w:rPr>
          <w:sz w:val="20"/>
          <w:szCs w:val="20"/>
        </w:rPr>
      </w:pPr>
      <w:r>
        <w:rPr>
          <w:sz w:val="20"/>
          <w:szCs w:val="20"/>
        </w:rPr>
        <w:t>Numéro de SIRET :</w:t>
      </w:r>
    </w:p>
    <w:p w14:paraId="75463A20">
      <w:pPr>
        <w:pStyle w:val="2"/>
        <w:rPr>
          <w:sz w:val="20"/>
          <w:szCs w:val="20"/>
        </w:rPr>
      </w:pPr>
      <w:r>
        <w:rPr>
          <w:sz w:val="20"/>
          <w:szCs w:val="20"/>
        </w:rPr>
        <w:t>OBJET DU MARCHÉ ET ALLOTISSEMENT</w:t>
      </w:r>
    </w:p>
    <w:p w14:paraId="0E3B6A31">
      <w:pPr>
        <w:rPr>
          <w:rFonts w:hint="default"/>
          <w:sz w:val="20"/>
          <w:szCs w:val="20"/>
          <w:lang w:val="fr-FR"/>
        </w:rPr>
      </w:pPr>
      <w:bookmarkStart w:id="3" w:name="_Hlk178342406"/>
      <w:r>
        <w:rPr>
          <w:sz w:val="20"/>
          <w:szCs w:val="20"/>
        </w:rPr>
        <w:t>Le présent marché a pour objet la conception et la réalisation d’une formation professionnelle visant à doter une équipe, en charge de la gestion et de la conservation d’archives publiques physiques, d’une culture commune en archivistique.</w:t>
      </w:r>
      <w:r>
        <w:rPr>
          <w:rFonts w:hint="default"/>
          <w:sz w:val="20"/>
          <w:szCs w:val="20"/>
          <w:lang w:val="fr-FR"/>
        </w:rPr>
        <w:t xml:space="preserve"> Cette formation comportera 2 sessions: l’une en mai ou juin 2026 sur le site de Saint-Mandé pour 6 à 10 agents et l’autre en octobre ou novembre 2026 sur le site de Villefranche-sur-Cher pour 15 agents.</w:t>
      </w:r>
    </w:p>
    <w:p w14:paraId="7780965B">
      <w:pPr>
        <w:rPr>
          <w:sz w:val="20"/>
          <w:szCs w:val="20"/>
        </w:rPr>
      </w:pPr>
    </w:p>
    <w:p w14:paraId="5BDBB7CC">
      <w:pPr>
        <w:pStyle w:val="2"/>
        <w:spacing w:before="0" w:after="0"/>
        <w:rPr>
          <w:sz w:val="20"/>
          <w:szCs w:val="20"/>
        </w:rPr>
      </w:pPr>
      <w:r>
        <w:rPr>
          <w:sz w:val="20"/>
          <w:szCs w:val="20"/>
        </w:rPr>
        <w:t xml:space="preserve">DISPOSITIONS TECHNIQUES </w:t>
      </w:r>
      <w:bookmarkEnd w:id="3"/>
    </w:p>
    <w:p w14:paraId="5FA46FDC">
      <w:pPr>
        <w:pStyle w:val="3"/>
        <w:numPr>
          <w:ilvl w:val="0"/>
          <w:numId w:val="0"/>
        </w:numPr>
        <w:spacing w:before="0" w:after="0"/>
        <w:ind w:left="578"/>
        <w:rPr>
          <w:sz w:val="20"/>
          <w:szCs w:val="20"/>
        </w:rPr>
      </w:pPr>
      <w:bookmarkStart w:id="4" w:name="_Hlk182991395"/>
    </w:p>
    <w:p w14:paraId="62A05287">
      <w:pPr>
        <w:pStyle w:val="3"/>
        <w:numPr>
          <w:ilvl w:val="0"/>
          <w:numId w:val="8"/>
        </w:numPr>
        <w:spacing w:before="0" w:after="0"/>
        <w:ind w:left="425" w:leftChars="0" w:hanging="425" w:firstLineChars="0"/>
        <w:rPr>
          <w:rFonts w:hint="default"/>
          <w:sz w:val="20"/>
          <w:szCs w:val="20"/>
          <w:lang w:val="fr-FR"/>
        </w:rPr>
      </w:pPr>
      <w:r>
        <w:rPr>
          <w:sz w:val="20"/>
          <w:szCs w:val="20"/>
        </w:rPr>
        <w:t>Contexte et enjeu</w:t>
      </w:r>
      <w:bookmarkEnd w:id="4"/>
      <w:r>
        <w:rPr>
          <w:rFonts w:hint="default"/>
          <w:sz w:val="20"/>
          <w:szCs w:val="20"/>
          <w:lang w:val="fr-FR"/>
        </w:rPr>
        <w:t>x</w:t>
      </w:r>
    </w:p>
    <w:p w14:paraId="634180DC">
      <w:pPr>
        <w:rPr>
          <w:rFonts w:hint="default"/>
          <w:sz w:val="20"/>
          <w:szCs w:val="20"/>
        </w:rPr>
      </w:pPr>
      <w:r>
        <w:rPr>
          <w:rFonts w:hint="default"/>
          <w:sz w:val="20"/>
          <w:szCs w:val="20"/>
        </w:rPr>
        <w:t>L’Institut national de l’information géographique et forestière (IGN) possède d’importantes archives techniques et administratives issues de son activité depuis 1940 et héritées du Service Géographique de l’Armée</w:t>
      </w:r>
      <w:r>
        <w:rPr>
          <w:rFonts w:hint="default"/>
          <w:sz w:val="20"/>
          <w:szCs w:val="20"/>
          <w:lang w:val="fr-FR"/>
        </w:rPr>
        <w:t xml:space="preserve"> (SGA)</w:t>
      </w:r>
      <w:r>
        <w:rPr>
          <w:rFonts w:hint="default"/>
          <w:sz w:val="20"/>
          <w:szCs w:val="20"/>
        </w:rPr>
        <w:t>. Au sein de l’IGN, le Service de la Cartographie, de la Diffusion et du Patrimoine (SCDP) est en charge de la conservation et de la gestion des archives. Suite à des réorganisations et des départs d’agents, le SCDP souhaite initier à l’archivistique les agents en charge et travaillant sur les archives pour leur donner un socle commun de connaissances (agents affectés de manière permanente à la gestion des archives et agents intervenant en renfort à temps partiel).</w:t>
      </w:r>
    </w:p>
    <w:p w14:paraId="23B0C502">
      <w:pPr>
        <w:rPr>
          <w:rFonts w:hint="default"/>
          <w:sz w:val="20"/>
          <w:szCs w:val="20"/>
        </w:rPr>
      </w:pPr>
      <w:r>
        <w:rPr>
          <w:rFonts w:hint="default"/>
          <w:sz w:val="20"/>
          <w:szCs w:val="20"/>
        </w:rPr>
        <w:t>Les archives IGN sont constituées :</w:t>
      </w:r>
    </w:p>
    <w:p w14:paraId="2B9963DC">
      <w:pPr>
        <w:rPr>
          <w:rFonts w:hint="default"/>
          <w:sz w:val="20"/>
          <w:szCs w:val="20"/>
        </w:rPr>
      </w:pPr>
      <w:r>
        <w:rPr>
          <w:rFonts w:hint="default"/>
          <w:sz w:val="20"/>
          <w:szCs w:val="20"/>
        </w:rPr>
        <w:t>-De photographies aériennes sur plaques de verre, support souple et papier, panchromatiques, couleurs ou infrarouges couvrant la période 1919 – 2000</w:t>
      </w:r>
    </w:p>
    <w:p w14:paraId="4A3CE07E">
      <w:pPr>
        <w:rPr>
          <w:rFonts w:hint="default"/>
          <w:sz w:val="20"/>
          <w:szCs w:val="20"/>
        </w:rPr>
      </w:pPr>
      <w:r>
        <w:rPr>
          <w:rFonts w:hint="default"/>
          <w:sz w:val="20"/>
          <w:szCs w:val="20"/>
        </w:rPr>
        <w:t>-De cartes imprimées et atlas produits par le SGA, l’IGN, d’autres organismes publics français ou acquis auprès d’autres producteurs français et étrangers</w:t>
      </w:r>
    </w:p>
    <w:p w14:paraId="6ED0440F">
      <w:pPr>
        <w:rPr>
          <w:rFonts w:hint="default"/>
          <w:sz w:val="20"/>
          <w:szCs w:val="20"/>
        </w:rPr>
      </w:pPr>
      <w:r>
        <w:rPr>
          <w:rFonts w:hint="default"/>
          <w:sz w:val="20"/>
          <w:szCs w:val="20"/>
        </w:rPr>
        <w:t>-De dossiers techniques issues de la production IGN contenant différents supports (papier, calque, film photographique, support polyester, planchette en bois…)</w:t>
      </w:r>
    </w:p>
    <w:p w14:paraId="1AD748D0">
      <w:pPr>
        <w:rPr>
          <w:rFonts w:hint="default"/>
          <w:sz w:val="20"/>
          <w:szCs w:val="20"/>
        </w:rPr>
      </w:pPr>
      <w:r>
        <w:rPr>
          <w:rFonts w:hint="default"/>
          <w:sz w:val="20"/>
          <w:szCs w:val="20"/>
        </w:rPr>
        <w:t>Les archives physiques sont conservées sur le site IGN de Villefranche-sur-Cher (41). Certains agents en charge des archives travaillent sur le site IGN de Saint-Mandé (94).</w:t>
      </w:r>
    </w:p>
    <w:p w14:paraId="62E8A7A9">
      <w:pPr>
        <w:rPr>
          <w:sz w:val="20"/>
          <w:szCs w:val="20"/>
        </w:rPr>
      </w:pPr>
      <w:r>
        <w:rPr>
          <w:rFonts w:hint="default"/>
          <w:sz w:val="20"/>
          <w:szCs w:val="20"/>
        </w:rPr>
        <w:t>L’IGN est un établissement public placé sous la tutelle des ministères chargées de l’écologie et de la forêt.</w:t>
      </w:r>
    </w:p>
    <w:p w14:paraId="04930437">
      <w:pPr>
        <w:pStyle w:val="3"/>
        <w:numPr>
          <w:ilvl w:val="0"/>
          <w:numId w:val="8"/>
        </w:numPr>
        <w:spacing w:before="0" w:after="0"/>
        <w:ind w:left="425" w:leftChars="0" w:hanging="425" w:firstLineChars="0"/>
        <w:rPr>
          <w:rFonts w:hint="default"/>
          <w:sz w:val="20"/>
          <w:szCs w:val="20"/>
          <w:lang w:val="fr-FR"/>
        </w:rPr>
      </w:pPr>
      <w:r>
        <w:rPr>
          <w:rFonts w:hint="default"/>
          <w:sz w:val="20"/>
          <w:szCs w:val="20"/>
          <w:lang w:val="fr-FR"/>
        </w:rPr>
        <w:t>O</w:t>
      </w:r>
      <w:r>
        <w:rPr>
          <w:sz w:val="20"/>
          <w:szCs w:val="20"/>
        </w:rPr>
        <w:t xml:space="preserve">bjectifs </w:t>
      </w:r>
      <w:r>
        <w:rPr>
          <w:rFonts w:hint="default"/>
          <w:sz w:val="20"/>
          <w:szCs w:val="20"/>
          <w:lang w:val="fr-FR"/>
        </w:rPr>
        <w:t xml:space="preserve">pédagogiques </w:t>
      </w:r>
      <w:r>
        <w:rPr>
          <w:sz w:val="20"/>
          <w:szCs w:val="20"/>
        </w:rPr>
        <w:t>attendus de</w:t>
      </w:r>
      <w:r>
        <w:rPr>
          <w:rFonts w:hint="default"/>
          <w:sz w:val="20"/>
          <w:szCs w:val="20"/>
          <w:lang w:val="fr-FR"/>
        </w:rPr>
        <w:t xml:space="preserve"> la </w:t>
      </w:r>
      <w:r>
        <w:rPr>
          <w:sz w:val="20"/>
          <w:szCs w:val="20"/>
        </w:rPr>
        <w:t>formation</w:t>
      </w:r>
    </w:p>
    <w:p w14:paraId="2CA83426">
      <w:pPr>
        <w:rPr>
          <w:rFonts w:hint="default"/>
          <w:sz w:val="20"/>
          <w:szCs w:val="20"/>
        </w:rPr>
      </w:pPr>
      <w:r>
        <w:rPr>
          <w:rFonts w:hint="default"/>
          <w:sz w:val="20"/>
          <w:szCs w:val="20"/>
        </w:rPr>
        <w:t>A l'issue de la formation les stagiaires devront être capables de citer les principales définitions et obligations liées aux archives publiques concernant :</w:t>
      </w:r>
    </w:p>
    <w:p w14:paraId="6D123FFD">
      <w:pPr>
        <w:numPr>
          <w:ilvl w:val="0"/>
          <w:numId w:val="9"/>
        </w:numPr>
        <w:ind w:left="420" w:leftChars="0" w:hanging="420" w:firstLineChars="0"/>
        <w:rPr>
          <w:rFonts w:hint="default"/>
          <w:sz w:val="20"/>
          <w:szCs w:val="20"/>
        </w:rPr>
      </w:pPr>
      <w:r>
        <w:rPr>
          <w:rFonts w:hint="default"/>
          <w:sz w:val="20"/>
          <w:szCs w:val="20"/>
        </w:rPr>
        <w:t>Le réseau national des archives publiques (civiles et militaires), le rôle de la mission archives des ministères de tutelle,</w:t>
      </w:r>
    </w:p>
    <w:p w14:paraId="59F7EDC9">
      <w:pPr>
        <w:numPr>
          <w:ilvl w:val="0"/>
          <w:numId w:val="9"/>
        </w:numPr>
        <w:ind w:left="420" w:leftChars="0" w:hanging="420" w:firstLineChars="0"/>
        <w:rPr>
          <w:rFonts w:hint="default"/>
          <w:sz w:val="20"/>
          <w:szCs w:val="20"/>
        </w:rPr>
      </w:pPr>
      <w:r>
        <w:rPr>
          <w:rFonts w:hint="default"/>
          <w:sz w:val="20"/>
          <w:szCs w:val="20"/>
        </w:rPr>
        <w:t>Les outils et procédures de la collecte des archives (gestion de l'archivage),</w:t>
      </w:r>
    </w:p>
    <w:p w14:paraId="0072C0F2">
      <w:pPr>
        <w:numPr>
          <w:ilvl w:val="0"/>
          <w:numId w:val="9"/>
        </w:numPr>
        <w:ind w:left="420" w:leftChars="0" w:hanging="420" w:firstLineChars="0"/>
        <w:rPr>
          <w:rFonts w:hint="default"/>
          <w:sz w:val="20"/>
          <w:szCs w:val="20"/>
        </w:rPr>
      </w:pPr>
      <w:r>
        <w:rPr>
          <w:rFonts w:hint="default"/>
          <w:sz w:val="20"/>
          <w:szCs w:val="20"/>
        </w:rPr>
        <w:t>Les principes de classement,</w:t>
      </w:r>
    </w:p>
    <w:p w14:paraId="57D36CDE">
      <w:pPr>
        <w:numPr>
          <w:ilvl w:val="0"/>
          <w:numId w:val="9"/>
        </w:numPr>
        <w:ind w:left="420" w:leftChars="0" w:hanging="420" w:firstLineChars="0"/>
        <w:rPr>
          <w:rFonts w:hint="default"/>
          <w:sz w:val="20"/>
          <w:szCs w:val="20"/>
          <w:lang w:val="fr-FR"/>
        </w:rPr>
      </w:pPr>
      <w:r>
        <w:rPr>
          <w:rFonts w:hint="default"/>
          <w:sz w:val="20"/>
          <w:szCs w:val="20"/>
        </w:rPr>
        <w:t>Les principaux facteurs de destruction des différents supports et leurs moyens de conservation préventive,</w:t>
      </w:r>
    </w:p>
    <w:p w14:paraId="47E8E67D">
      <w:pPr>
        <w:pStyle w:val="3"/>
        <w:numPr>
          <w:ilvl w:val="0"/>
          <w:numId w:val="8"/>
        </w:numPr>
        <w:ind w:left="425" w:leftChars="0" w:hanging="425" w:firstLineChars="0"/>
        <w:rPr>
          <w:sz w:val="20"/>
          <w:szCs w:val="20"/>
        </w:rPr>
      </w:pPr>
      <w:bookmarkStart w:id="5" w:name="_Hlk184984198"/>
      <w:r>
        <w:rPr>
          <w:sz w:val="20"/>
          <w:szCs w:val="20"/>
        </w:rPr>
        <w:t>Public cible de la formation</w:t>
      </w:r>
      <w:r>
        <w:rPr>
          <w:rFonts w:hint="default"/>
          <w:sz w:val="20"/>
          <w:szCs w:val="20"/>
          <w:lang w:val="fr-FR"/>
        </w:rPr>
        <w:t xml:space="preserve"> comportant 2 sessions:</w:t>
      </w:r>
    </w:p>
    <w:p w14:paraId="25850413">
      <w:pPr>
        <w:numPr>
          <w:ilvl w:val="0"/>
          <w:numId w:val="10"/>
        </w:numPr>
        <w:ind w:left="420" w:leftChars="0" w:hanging="420" w:firstLineChars="0"/>
        <w:rPr>
          <w:rFonts w:hint="default"/>
          <w:b/>
          <w:bCs/>
          <w:sz w:val="20"/>
          <w:szCs w:val="20"/>
          <w:highlight w:val="yellow"/>
        </w:rPr>
      </w:pPr>
      <w:r>
        <w:rPr>
          <w:rFonts w:hint="default"/>
          <w:b/>
          <w:bCs/>
          <w:sz w:val="20"/>
          <w:szCs w:val="20"/>
          <w:highlight w:val="yellow"/>
        </w:rPr>
        <w:t>S</w:t>
      </w:r>
      <w:r>
        <w:rPr>
          <w:rFonts w:hint="default"/>
          <w:b/>
          <w:bCs/>
          <w:sz w:val="20"/>
          <w:szCs w:val="20"/>
          <w:highlight w:val="yellow"/>
          <w:lang w:val="fr-FR"/>
        </w:rPr>
        <w:t>ur le s</w:t>
      </w:r>
      <w:r>
        <w:rPr>
          <w:rFonts w:hint="default"/>
          <w:b/>
          <w:bCs/>
          <w:sz w:val="20"/>
          <w:szCs w:val="20"/>
          <w:highlight w:val="yellow"/>
        </w:rPr>
        <w:t xml:space="preserve">ite de Saint-Mandé – 6 à 10 stagiaires – </w:t>
      </w:r>
      <w:r>
        <w:rPr>
          <w:rFonts w:hint="default"/>
          <w:b/>
          <w:bCs/>
          <w:sz w:val="20"/>
          <w:szCs w:val="20"/>
          <w:highlight w:val="yellow"/>
          <w:lang w:val="fr-FR"/>
        </w:rPr>
        <w:t>session de</w:t>
      </w:r>
      <w:r>
        <w:rPr>
          <w:rFonts w:hint="default"/>
          <w:b/>
          <w:bCs/>
          <w:sz w:val="20"/>
          <w:szCs w:val="20"/>
          <w:highlight w:val="yellow"/>
        </w:rPr>
        <w:t xml:space="preserve"> mai ou</w:t>
      </w:r>
      <w:r>
        <w:rPr>
          <w:rFonts w:hint="default"/>
          <w:b/>
          <w:bCs/>
          <w:sz w:val="20"/>
          <w:szCs w:val="20"/>
          <w:highlight w:val="yellow"/>
          <w:lang w:val="fr-FR"/>
        </w:rPr>
        <w:t xml:space="preserve"> de</w:t>
      </w:r>
      <w:r>
        <w:rPr>
          <w:rFonts w:hint="default"/>
          <w:b/>
          <w:bCs/>
          <w:sz w:val="20"/>
          <w:szCs w:val="20"/>
          <w:highlight w:val="yellow"/>
        </w:rPr>
        <w:t xml:space="preserve"> juin 2026</w:t>
      </w:r>
    </w:p>
    <w:p w14:paraId="335C1EDF">
      <w:pPr>
        <w:numPr>
          <w:ilvl w:val="0"/>
          <w:numId w:val="11"/>
        </w:numPr>
        <w:ind w:left="840" w:leftChars="0" w:hanging="420" w:firstLineChars="0"/>
        <w:rPr>
          <w:rFonts w:hint="default"/>
          <w:sz w:val="20"/>
          <w:szCs w:val="20"/>
          <w:lang w:val="fr-FR" w:eastAsia="en-US"/>
        </w:rPr>
      </w:pPr>
      <w:r>
        <w:rPr>
          <w:rFonts w:hint="default"/>
          <w:sz w:val="20"/>
          <w:szCs w:val="20"/>
          <w:lang w:val="fr-FR" w:eastAsia="en-US"/>
        </w:rPr>
        <w:t>Encadrement du service en charge des archives, chargé de mission Archives: 4 agents;</w:t>
      </w:r>
    </w:p>
    <w:p w14:paraId="72373981">
      <w:pPr>
        <w:numPr>
          <w:ilvl w:val="0"/>
          <w:numId w:val="11"/>
        </w:numPr>
        <w:ind w:left="840" w:leftChars="0" w:hanging="420" w:firstLineChars="0"/>
        <w:rPr>
          <w:rFonts w:hint="default"/>
          <w:sz w:val="20"/>
          <w:szCs w:val="20"/>
          <w:lang w:val="fr-FR" w:eastAsia="en-US"/>
        </w:rPr>
      </w:pPr>
      <w:r>
        <w:rPr>
          <w:rFonts w:hint="default"/>
          <w:sz w:val="20"/>
          <w:szCs w:val="20"/>
          <w:lang w:val="fr-FR" w:eastAsia="en-US"/>
        </w:rPr>
        <w:t>Ingénieur support sur la gestion informatique des archives (bases d’inventaire, fichiers issus de la dématérialisation): 2 agents;</w:t>
      </w:r>
    </w:p>
    <w:p w14:paraId="346C580B">
      <w:pPr>
        <w:numPr>
          <w:ilvl w:val="0"/>
          <w:numId w:val="11"/>
        </w:numPr>
        <w:ind w:left="840" w:leftChars="0" w:hanging="420" w:firstLineChars="0"/>
        <w:rPr>
          <w:rFonts w:hint="default"/>
          <w:sz w:val="20"/>
          <w:szCs w:val="20"/>
          <w:lang w:val="fr-FR" w:eastAsia="en-US"/>
        </w:rPr>
      </w:pPr>
      <w:r>
        <w:rPr>
          <w:rFonts w:hint="default"/>
          <w:sz w:val="20"/>
          <w:szCs w:val="20"/>
          <w:lang w:val="fr-FR" w:eastAsia="en-US"/>
        </w:rPr>
        <w:t>2 ou 3 agents supplémentaire (SU1, SPRI, ODN…).</w:t>
      </w:r>
    </w:p>
    <w:p w14:paraId="31E943C3">
      <w:pPr>
        <w:numPr>
          <w:ilvl w:val="0"/>
          <w:numId w:val="12"/>
        </w:numPr>
        <w:ind w:left="420" w:leftChars="0" w:hanging="420" w:firstLineChars="0"/>
        <w:rPr>
          <w:rFonts w:hint="default"/>
          <w:b/>
          <w:bCs/>
          <w:sz w:val="20"/>
          <w:szCs w:val="20"/>
          <w:highlight w:val="yellow"/>
        </w:rPr>
      </w:pPr>
      <w:r>
        <w:rPr>
          <w:rFonts w:hint="default"/>
          <w:b/>
          <w:bCs/>
          <w:sz w:val="20"/>
          <w:szCs w:val="20"/>
          <w:highlight w:val="yellow"/>
        </w:rPr>
        <w:t>S</w:t>
      </w:r>
      <w:r>
        <w:rPr>
          <w:rFonts w:hint="default"/>
          <w:b/>
          <w:bCs/>
          <w:sz w:val="20"/>
          <w:szCs w:val="20"/>
          <w:highlight w:val="yellow"/>
          <w:lang w:val="fr-FR"/>
        </w:rPr>
        <w:t>ur le s</w:t>
      </w:r>
      <w:r>
        <w:rPr>
          <w:rFonts w:hint="default"/>
          <w:b/>
          <w:bCs/>
          <w:sz w:val="20"/>
          <w:szCs w:val="20"/>
          <w:highlight w:val="yellow"/>
        </w:rPr>
        <w:t xml:space="preserve">ite de Villefranche-sur-Cher – 15 </w:t>
      </w:r>
      <w:r>
        <w:rPr>
          <w:rFonts w:hint="default"/>
          <w:b/>
          <w:bCs/>
          <w:sz w:val="20"/>
          <w:szCs w:val="20"/>
          <w:highlight w:val="yellow"/>
          <w:lang w:val="fr-FR"/>
        </w:rPr>
        <w:t>stagiaires</w:t>
      </w:r>
      <w:r>
        <w:rPr>
          <w:rFonts w:hint="default"/>
          <w:b/>
          <w:bCs/>
          <w:sz w:val="20"/>
          <w:szCs w:val="20"/>
          <w:highlight w:val="yellow"/>
        </w:rPr>
        <w:t xml:space="preserve"> – </w:t>
      </w:r>
      <w:r>
        <w:rPr>
          <w:rFonts w:hint="default"/>
          <w:b/>
          <w:bCs/>
          <w:sz w:val="20"/>
          <w:szCs w:val="20"/>
          <w:highlight w:val="yellow"/>
          <w:lang w:val="fr-FR"/>
        </w:rPr>
        <w:t>session d’</w:t>
      </w:r>
      <w:r>
        <w:rPr>
          <w:rFonts w:hint="default"/>
          <w:b/>
          <w:bCs/>
          <w:sz w:val="20"/>
          <w:szCs w:val="20"/>
          <w:highlight w:val="yellow"/>
        </w:rPr>
        <w:t xml:space="preserve">octobre ou </w:t>
      </w:r>
      <w:r>
        <w:rPr>
          <w:rFonts w:hint="default"/>
          <w:b/>
          <w:bCs/>
          <w:sz w:val="20"/>
          <w:szCs w:val="20"/>
          <w:highlight w:val="yellow"/>
          <w:lang w:val="fr-FR"/>
        </w:rPr>
        <w:t xml:space="preserve">de </w:t>
      </w:r>
      <w:r>
        <w:rPr>
          <w:rFonts w:hint="default"/>
          <w:b/>
          <w:bCs/>
          <w:sz w:val="20"/>
          <w:szCs w:val="20"/>
          <w:highlight w:val="yellow"/>
        </w:rPr>
        <w:t>novembre 2026</w:t>
      </w:r>
    </w:p>
    <w:p w14:paraId="0CB71A0F">
      <w:pPr>
        <w:numPr>
          <w:ilvl w:val="0"/>
          <w:numId w:val="13"/>
        </w:numPr>
        <w:ind w:left="840" w:leftChars="0" w:hanging="420" w:firstLineChars="0"/>
        <w:rPr>
          <w:rFonts w:hint="default"/>
          <w:sz w:val="20"/>
          <w:szCs w:val="20"/>
          <w:lang w:val="fr-FR" w:eastAsia="en-US"/>
        </w:rPr>
      </w:pPr>
      <w:r>
        <w:rPr>
          <w:rFonts w:hint="default"/>
          <w:sz w:val="20"/>
          <w:szCs w:val="20"/>
          <w:lang w:val="fr-FR" w:eastAsia="en-US"/>
        </w:rPr>
        <w:t>Encadrement du service en charge des archives, chargé de mission Archives: 2 agents</w:t>
      </w:r>
    </w:p>
    <w:p w14:paraId="16DE2777">
      <w:pPr>
        <w:numPr>
          <w:ilvl w:val="0"/>
          <w:numId w:val="13"/>
        </w:numPr>
        <w:ind w:left="840" w:leftChars="0" w:hanging="420" w:firstLineChars="0"/>
        <w:rPr>
          <w:rFonts w:hint="default"/>
          <w:sz w:val="20"/>
          <w:szCs w:val="20"/>
          <w:lang w:val="fr-FR" w:eastAsia="en-US"/>
        </w:rPr>
      </w:pPr>
      <w:r>
        <w:rPr>
          <w:rFonts w:hint="default"/>
          <w:sz w:val="20"/>
          <w:szCs w:val="20"/>
          <w:lang w:val="fr-FR" w:eastAsia="en-US"/>
        </w:rPr>
        <w:t>Département en charge des archives physiques (encadrement, agents affectés à la gestion des archives, agents en renfort): 9 agents </w:t>
      </w:r>
    </w:p>
    <w:p w14:paraId="1D1EBB6A">
      <w:pPr>
        <w:numPr>
          <w:ilvl w:val="0"/>
          <w:numId w:val="13"/>
        </w:numPr>
        <w:ind w:left="840" w:leftChars="0" w:hanging="420" w:firstLineChars="0"/>
        <w:rPr>
          <w:rFonts w:hint="default"/>
          <w:sz w:val="20"/>
          <w:szCs w:val="20"/>
          <w:lang w:val="fr-FR" w:eastAsia="en-US"/>
        </w:rPr>
      </w:pPr>
      <w:r>
        <w:rPr>
          <w:rFonts w:hint="default"/>
          <w:sz w:val="20"/>
          <w:szCs w:val="20"/>
          <w:lang w:val="fr-FR" w:eastAsia="en-US"/>
        </w:rPr>
        <w:t>4 agents de Villefranche-sur-Cher intervenant en renfort sur les archives.</w:t>
      </w:r>
    </w:p>
    <w:p w14:paraId="4F1EAD75">
      <w:pPr>
        <w:numPr>
          <w:ilvl w:val="0"/>
          <w:numId w:val="0"/>
        </w:numPr>
        <w:tabs>
          <w:tab w:val="left" w:pos="840"/>
        </w:tabs>
        <w:spacing w:before="120" w:after="120" w:line="240" w:lineRule="auto"/>
        <w:jc w:val="both"/>
        <w:rPr>
          <w:rFonts w:hint="default"/>
          <w:sz w:val="20"/>
          <w:szCs w:val="20"/>
          <w:lang w:val="fr-FR" w:eastAsia="en-US"/>
        </w:rPr>
      </w:pPr>
      <w:r>
        <w:rPr>
          <w:rFonts w:hint="default"/>
          <w:sz w:val="20"/>
          <w:szCs w:val="20"/>
          <w:lang w:val="fr-FR" w:eastAsia="en-US"/>
        </w:rPr>
        <w:t>Prérequis des stagiaires:</w:t>
      </w:r>
    </w:p>
    <w:p w14:paraId="1643FCBF">
      <w:pPr>
        <w:numPr>
          <w:ilvl w:val="0"/>
          <w:numId w:val="0"/>
        </w:numPr>
        <w:tabs>
          <w:tab w:val="left" w:pos="840"/>
        </w:tabs>
        <w:spacing w:before="120" w:after="120" w:line="240" w:lineRule="auto"/>
        <w:jc w:val="both"/>
        <w:rPr>
          <w:rFonts w:hint="default"/>
          <w:sz w:val="20"/>
          <w:szCs w:val="20"/>
          <w:lang w:val="fr-FR" w:eastAsia="en-US"/>
        </w:rPr>
      </w:pPr>
      <w:r>
        <w:rPr>
          <w:rFonts w:hint="default"/>
          <w:sz w:val="20"/>
          <w:szCs w:val="20"/>
          <w:lang w:val="fr-FR" w:eastAsia="en-US"/>
        </w:rPr>
        <w:t>Ils n’ont pas de connaissance en archivisme.</w:t>
      </w:r>
    </w:p>
    <w:bookmarkEnd w:id="5"/>
    <w:p w14:paraId="5FE6C45F">
      <w:pPr>
        <w:pStyle w:val="3"/>
        <w:numPr>
          <w:ilvl w:val="0"/>
          <w:numId w:val="8"/>
        </w:numPr>
        <w:ind w:left="425" w:leftChars="0" w:hanging="425" w:firstLineChars="0"/>
        <w:rPr>
          <w:sz w:val="20"/>
          <w:szCs w:val="20"/>
        </w:rPr>
      </w:pPr>
      <w:r>
        <w:rPr>
          <w:sz w:val="20"/>
          <w:szCs w:val="20"/>
        </w:rPr>
        <w:t>Modalités pratiques d’organisation</w:t>
      </w:r>
      <w:r>
        <w:rPr>
          <w:rFonts w:ascii="Calibri" w:hAnsi="Calibri" w:cs="Calibri"/>
          <w:sz w:val="20"/>
          <w:szCs w:val="20"/>
        </w:rPr>
        <w:t> </w:t>
      </w:r>
      <w:r>
        <w:rPr>
          <w:sz w:val="20"/>
          <w:szCs w:val="20"/>
        </w:rPr>
        <w:t>:</w:t>
      </w:r>
    </w:p>
    <w:p w14:paraId="0E218649">
      <w:pPr>
        <w:rPr>
          <w:sz w:val="20"/>
          <w:szCs w:val="20"/>
        </w:rPr>
      </w:pPr>
      <w:r>
        <w:rPr>
          <w:sz w:val="20"/>
          <w:szCs w:val="20"/>
        </w:rPr>
        <w:t>Durée prévisionnelle et volumétrie souhaitée</w:t>
      </w:r>
      <w:r>
        <w:rPr>
          <w:rFonts w:ascii="Calibri" w:hAnsi="Calibri" w:cs="Calibri"/>
          <w:sz w:val="20"/>
          <w:szCs w:val="20"/>
        </w:rPr>
        <w:t> </w:t>
      </w:r>
      <w:r>
        <w:rPr>
          <w:sz w:val="20"/>
          <w:szCs w:val="20"/>
        </w:rPr>
        <w:t>:</w:t>
      </w:r>
    </w:p>
    <w:p w14:paraId="3AFE9EF2">
      <w:pPr>
        <w:ind w:left="-284" w:firstLine="284"/>
        <w:rPr>
          <w:bCs/>
          <w:sz w:val="20"/>
          <w:highlight w:val="none"/>
        </w:rPr>
      </w:pPr>
      <w:r>
        <w:rPr>
          <w:b/>
          <w:bCs w:val="0"/>
          <w:sz w:val="20"/>
          <w:highlight w:val="none"/>
        </w:rPr>
        <w:t>Durée</w:t>
      </w:r>
      <w:r>
        <w:rPr>
          <w:rFonts w:hint="default"/>
          <w:b/>
          <w:bCs w:val="0"/>
          <w:sz w:val="20"/>
          <w:highlight w:val="none"/>
          <w:lang w:val="fr-FR"/>
        </w:rPr>
        <w:t xml:space="preserve"> totale : 2 ou</w:t>
      </w:r>
      <w:r>
        <w:rPr>
          <w:b/>
          <w:bCs w:val="0"/>
          <w:sz w:val="20"/>
          <w:highlight w:val="none"/>
        </w:rPr>
        <w:t xml:space="preserve"> </w:t>
      </w:r>
      <w:r>
        <w:rPr>
          <w:rFonts w:hint="default"/>
          <w:b/>
          <w:bCs w:val="0"/>
          <w:sz w:val="20"/>
          <w:highlight w:val="none"/>
          <w:lang w:val="fr-FR"/>
        </w:rPr>
        <w:t xml:space="preserve">3 </w:t>
      </w:r>
      <w:r>
        <w:rPr>
          <w:b/>
          <w:bCs w:val="0"/>
          <w:sz w:val="20"/>
          <w:highlight w:val="none"/>
        </w:rPr>
        <w:t>jour</w:t>
      </w:r>
      <w:r>
        <w:rPr>
          <w:rFonts w:hint="default"/>
          <w:b/>
          <w:bCs w:val="0"/>
          <w:sz w:val="20"/>
          <w:highlight w:val="none"/>
          <w:lang w:val="fr-FR"/>
        </w:rPr>
        <w:t>s</w:t>
      </w:r>
      <w:r>
        <w:rPr>
          <w:b/>
          <w:bCs w:val="0"/>
          <w:sz w:val="20"/>
          <w:highlight w:val="none"/>
        </w:rPr>
        <w:t xml:space="preserve"> </w:t>
      </w:r>
    </w:p>
    <w:p w14:paraId="2E822DEB">
      <w:pPr>
        <w:rPr>
          <w:rFonts w:hint="default"/>
          <w:b/>
          <w:bCs/>
          <w:iCs/>
          <w:sz w:val="20"/>
          <w:szCs w:val="20"/>
          <w:highlight w:val="none"/>
          <w:lang w:val="fr-FR"/>
        </w:rPr>
      </w:pPr>
      <w:sdt>
        <w:sdtPr>
          <w:rPr>
            <w:sz w:val="20"/>
            <w:szCs w:val="20"/>
            <w:highlight w:val="none"/>
          </w:rPr>
          <w:id w:val="147455595"/>
          <w14:checkbox>
            <w14:checked w14:val="1"/>
            <w14:checkedState w14:val="2612" w14:font="MS Gothic"/>
            <w14:uncheckedState w14:val="2610" w14:font="MS Gothic"/>
          </w14:checkbox>
        </w:sdtPr>
        <w:sdtEndPr>
          <w:rPr>
            <w:sz w:val="20"/>
            <w:szCs w:val="20"/>
            <w:highlight w:val="none"/>
          </w:rPr>
        </w:sdtEndPr>
        <w:sdtContent>
          <w:r>
            <w:rPr>
              <w:rFonts w:hint="eastAsia" w:ascii="MS Gothic" w:hAnsi="MS Gothic" w:eastAsia="MS Gothic"/>
              <w:sz w:val="20"/>
              <w:szCs w:val="20"/>
              <w:highlight w:val="none"/>
            </w:rPr>
            <w:t>☒</w:t>
          </w:r>
        </w:sdtContent>
      </w:sdt>
      <w:r>
        <w:rPr>
          <w:iCs/>
          <w:sz w:val="20"/>
          <w:szCs w:val="20"/>
          <w:highlight w:val="none"/>
        </w:rPr>
        <w:t xml:space="preserve"> </w:t>
      </w:r>
      <w:r>
        <w:rPr>
          <w:rFonts w:hint="default"/>
          <w:iCs/>
          <w:sz w:val="20"/>
          <w:szCs w:val="20"/>
          <w:highlight w:val="none"/>
          <w:lang w:val="fr-FR"/>
        </w:rPr>
        <w:t>e</w:t>
      </w:r>
      <w:r>
        <w:rPr>
          <w:b/>
          <w:bCs/>
          <w:iCs/>
          <w:sz w:val="20"/>
          <w:szCs w:val="20"/>
          <w:highlight w:val="none"/>
        </w:rPr>
        <w:t>n intr</w:t>
      </w:r>
      <w:r>
        <w:rPr>
          <w:rFonts w:hint="default"/>
          <w:b/>
          <w:bCs/>
          <w:iCs/>
          <w:sz w:val="20"/>
          <w:szCs w:val="20"/>
          <w:highlight w:val="none"/>
          <w:lang w:val="fr-FR"/>
        </w:rPr>
        <w:t>a</w:t>
      </w:r>
      <w:r>
        <w:rPr>
          <w:b/>
          <w:bCs/>
          <w:iCs/>
          <w:sz w:val="20"/>
          <w:szCs w:val="20"/>
          <w:highlight w:val="none"/>
        </w:rPr>
        <w:t>-entreprise</w:t>
      </w:r>
      <w:r>
        <w:rPr>
          <w:rFonts w:hint="default"/>
          <w:b/>
          <w:bCs/>
          <w:iCs/>
          <w:sz w:val="20"/>
          <w:szCs w:val="20"/>
          <w:highlight w:val="none"/>
          <w:lang w:val="fr-FR"/>
        </w:rPr>
        <w:t xml:space="preserve"> </w:t>
      </w:r>
    </w:p>
    <w:p w14:paraId="6EF8BEF4">
      <w:pPr>
        <w:rPr>
          <w:b/>
          <w:bCs/>
          <w:iCs/>
          <w:sz w:val="20"/>
          <w:szCs w:val="20"/>
          <w:highlight w:val="none"/>
        </w:rPr>
      </w:pPr>
      <w:sdt>
        <w:sdtPr>
          <w:rPr>
            <w:sz w:val="20"/>
            <w:szCs w:val="20"/>
            <w:highlight w:val="none"/>
          </w:rPr>
          <w:id w:val="-145906838"/>
          <w14:checkbox>
            <w14:checked w14:val="1"/>
            <w14:checkedState w14:val="2612" w14:font="MS Gothic"/>
            <w14:uncheckedState w14:val="2610" w14:font="MS Gothic"/>
          </w14:checkbox>
        </w:sdtPr>
        <w:sdtEndPr>
          <w:rPr>
            <w:sz w:val="20"/>
            <w:szCs w:val="20"/>
            <w:highlight w:val="none"/>
          </w:rPr>
        </w:sdtEndPr>
        <w:sdtContent>
          <w:r>
            <w:rPr>
              <w:rFonts w:hint="eastAsia" w:ascii="MS Gothic" w:hAnsi="MS Gothic" w:eastAsia="MS Gothic"/>
              <w:sz w:val="20"/>
              <w:szCs w:val="20"/>
              <w:highlight w:val="none"/>
            </w:rPr>
            <w:t>☒</w:t>
          </w:r>
        </w:sdtContent>
      </w:sdt>
      <w:r>
        <w:rPr>
          <w:iCs/>
          <w:sz w:val="20"/>
          <w:szCs w:val="20"/>
          <w:highlight w:val="none"/>
        </w:rPr>
        <w:t xml:space="preserve"> </w:t>
      </w:r>
      <w:r>
        <w:rPr>
          <w:b/>
          <w:bCs/>
          <w:iCs/>
          <w:sz w:val="20"/>
          <w:szCs w:val="20"/>
          <w:highlight w:val="none"/>
        </w:rPr>
        <w:t>En présentiel</w:t>
      </w:r>
    </w:p>
    <w:p w14:paraId="32CAF0F8">
      <w:pPr>
        <w:rPr>
          <w:b/>
          <w:bCs/>
          <w:color w:val="3891AF" w:themeColor="accent5" w:themeShade="BF"/>
          <w:sz w:val="20"/>
          <w:szCs w:val="20"/>
        </w:rPr>
      </w:pPr>
      <w:r>
        <w:rPr>
          <w:b/>
          <w:bCs/>
          <w:color w:val="3891AF" w:themeColor="accent5" w:themeShade="BF"/>
          <w:sz w:val="20"/>
          <w:szCs w:val="20"/>
        </w:rPr>
        <w:t>Lieu</w:t>
      </w:r>
      <w:r>
        <w:rPr>
          <w:rFonts w:hint="default"/>
          <w:b/>
          <w:bCs/>
          <w:color w:val="3891AF" w:themeColor="accent5" w:themeShade="BF"/>
          <w:sz w:val="20"/>
          <w:szCs w:val="20"/>
          <w:lang w:val="fr-FR"/>
        </w:rPr>
        <w:t>x</w:t>
      </w:r>
      <w:r>
        <w:rPr>
          <w:b/>
          <w:bCs/>
          <w:color w:val="3891AF" w:themeColor="accent5" w:themeShade="BF"/>
          <w:sz w:val="20"/>
          <w:szCs w:val="20"/>
        </w:rPr>
        <w:t xml:space="preserve"> (en présentiel)</w:t>
      </w:r>
      <w:r>
        <w:rPr>
          <w:rFonts w:ascii="Calibri" w:hAnsi="Calibri" w:cs="Calibri"/>
          <w:b/>
          <w:bCs/>
          <w:color w:val="3891AF" w:themeColor="accent5" w:themeShade="BF"/>
          <w:sz w:val="20"/>
          <w:szCs w:val="20"/>
        </w:rPr>
        <w:t> </w:t>
      </w:r>
      <w:r>
        <w:rPr>
          <w:b/>
          <w:bCs/>
          <w:color w:val="3891AF" w:themeColor="accent5" w:themeShade="BF"/>
          <w:sz w:val="20"/>
          <w:szCs w:val="20"/>
        </w:rPr>
        <w:t xml:space="preserve">: </w:t>
      </w:r>
    </w:p>
    <w:p w14:paraId="7A144756">
      <w:pPr>
        <w:rPr>
          <w:rFonts w:hint="default"/>
          <w:b w:val="0"/>
          <w:bCs w:val="0"/>
          <w:iCs/>
          <w:sz w:val="20"/>
          <w:szCs w:val="20"/>
          <w:highlight w:val="none"/>
          <w:lang w:val="fr-FR"/>
        </w:rPr>
      </w:pPr>
      <w:r>
        <w:rPr>
          <w:rFonts w:hint="default"/>
          <w:b w:val="0"/>
          <w:bCs w:val="0"/>
          <w:iCs/>
          <w:sz w:val="20"/>
          <w:szCs w:val="20"/>
          <w:highlight w:val="none"/>
          <w:lang w:val="fr-FR"/>
        </w:rPr>
        <w:t>La formation aura lieu:</w:t>
      </w:r>
    </w:p>
    <w:p w14:paraId="28C11D99">
      <w:pPr>
        <w:numPr>
          <w:ilvl w:val="0"/>
          <w:numId w:val="14"/>
        </w:numPr>
        <w:ind w:left="420" w:leftChars="0" w:hanging="420" w:firstLineChars="0"/>
        <w:rPr>
          <w:rFonts w:hint="default"/>
          <w:b w:val="0"/>
          <w:bCs w:val="0"/>
          <w:iCs/>
          <w:sz w:val="20"/>
          <w:szCs w:val="20"/>
          <w:highlight w:val="none"/>
          <w:lang w:val="fr-FR"/>
        </w:rPr>
      </w:pPr>
      <w:r>
        <w:rPr>
          <w:rFonts w:hint="default"/>
          <w:b/>
          <w:bCs/>
          <w:iCs/>
          <w:sz w:val="20"/>
          <w:szCs w:val="20"/>
          <w:highlight w:val="none"/>
          <w:lang w:val="fr-FR"/>
        </w:rPr>
        <w:t>Pour la première session</w:t>
      </w:r>
      <w:r>
        <w:rPr>
          <w:rFonts w:hint="default"/>
          <w:b w:val="0"/>
          <w:bCs w:val="0"/>
          <w:iCs/>
          <w:sz w:val="20"/>
          <w:szCs w:val="20"/>
          <w:highlight w:val="none"/>
          <w:lang w:val="fr-FR"/>
        </w:rPr>
        <w:t xml:space="preserve"> dans les locaux de l’IGN (à Saint-Mandé ou à l’ENSG-Géomatique à Marne-la-Vallée);</w:t>
      </w:r>
    </w:p>
    <w:p w14:paraId="062431E1">
      <w:pPr>
        <w:numPr>
          <w:ilvl w:val="0"/>
          <w:numId w:val="14"/>
        </w:numPr>
        <w:ind w:left="420" w:leftChars="0" w:hanging="420" w:firstLineChars="0"/>
        <w:rPr>
          <w:rFonts w:hint="default"/>
          <w:b w:val="0"/>
          <w:bCs w:val="0"/>
          <w:iCs/>
          <w:sz w:val="20"/>
          <w:szCs w:val="20"/>
          <w:highlight w:val="none"/>
          <w:lang w:val="fr-FR"/>
        </w:rPr>
      </w:pPr>
      <w:r>
        <w:rPr>
          <w:rFonts w:hint="default"/>
          <w:b/>
          <w:bCs/>
          <w:iCs/>
          <w:sz w:val="20"/>
          <w:szCs w:val="20"/>
          <w:highlight w:val="none"/>
          <w:lang w:val="fr-FR"/>
        </w:rPr>
        <w:t>Pour la seconde session</w:t>
      </w:r>
      <w:r>
        <w:rPr>
          <w:rFonts w:hint="default"/>
          <w:b w:val="0"/>
          <w:bCs w:val="0"/>
          <w:iCs/>
          <w:sz w:val="20"/>
          <w:szCs w:val="20"/>
          <w:highlight w:val="none"/>
          <w:lang w:val="fr-FR"/>
        </w:rPr>
        <w:t xml:space="preserve"> dans les locaux de l’IGN à Villefranche-sur-Cher, au </w:t>
      </w:r>
      <w:r>
        <w:rPr>
          <w:rFonts w:hint="default"/>
          <w:b w:val="0"/>
          <w:bCs w:val="0"/>
          <w:iCs/>
          <w:sz w:val="20"/>
          <w:szCs w:val="20"/>
          <w:highlight w:val="none"/>
          <w:lang w:val="fr-FR"/>
        </w:rPr>
        <w:fldChar w:fldCharType="begin"/>
      </w:r>
      <w:r>
        <w:rPr>
          <w:rFonts w:hint="default"/>
          <w:b w:val="0"/>
          <w:bCs w:val="0"/>
          <w:iCs/>
          <w:sz w:val="20"/>
          <w:szCs w:val="20"/>
          <w:highlight w:val="none"/>
          <w:lang w:val="fr-FR"/>
        </w:rPr>
        <w:instrText xml:space="preserve"> HYPERLINK "https://www.google.com/url?sa=t&amp;source=web&amp;rct=j&amp;opi=89978449&amp;url=/maps/place//data=!4m2!3m1!1s0x47fb3745b7f00c6d:0x2956b5a62a5d85c2?sa=X&amp;ved=1t:8290&amp;ictx=111&amp;ved=2ahUKEwinnrmxqIiTAxX8dqQEHRrdBI8Q4kB6BAg9EAM&amp;usg=AOvVaw2DEi0cVlr0wCXzxhFisU9r" </w:instrText>
      </w:r>
      <w:r>
        <w:rPr>
          <w:rFonts w:hint="default"/>
          <w:b w:val="0"/>
          <w:bCs w:val="0"/>
          <w:iCs/>
          <w:sz w:val="20"/>
          <w:szCs w:val="20"/>
          <w:highlight w:val="none"/>
          <w:lang w:val="fr-FR"/>
        </w:rPr>
        <w:fldChar w:fldCharType="separate"/>
      </w:r>
      <w:r>
        <w:rPr>
          <w:rFonts w:hint="default"/>
          <w:b w:val="0"/>
          <w:bCs w:val="0"/>
          <w:iCs/>
          <w:sz w:val="20"/>
          <w:szCs w:val="20"/>
          <w:highlight w:val="none"/>
          <w:lang w:val="fr-FR"/>
        </w:rPr>
        <w:t>Camp des Landes, 41200 Villefranche-sur-Cher</w:t>
      </w:r>
      <w:r>
        <w:rPr>
          <w:rFonts w:hint="default"/>
          <w:b w:val="0"/>
          <w:bCs w:val="0"/>
          <w:iCs/>
          <w:sz w:val="20"/>
          <w:szCs w:val="20"/>
          <w:highlight w:val="none"/>
          <w:lang w:val="fr-FR"/>
        </w:rPr>
        <w:fldChar w:fldCharType="end"/>
      </w:r>
      <w:r>
        <w:rPr>
          <w:rFonts w:hint="default"/>
          <w:b w:val="0"/>
          <w:bCs w:val="0"/>
          <w:iCs/>
          <w:sz w:val="20"/>
          <w:szCs w:val="20"/>
          <w:highlight w:val="none"/>
          <w:lang w:val="fr-FR"/>
        </w:rPr>
        <w:t>.</w:t>
      </w:r>
    </w:p>
    <w:p w14:paraId="0233197B">
      <w:pPr>
        <w:pStyle w:val="3"/>
        <w:numPr>
          <w:ilvl w:val="0"/>
          <w:numId w:val="8"/>
        </w:numPr>
        <w:ind w:left="425" w:leftChars="0" w:hanging="425" w:firstLineChars="0"/>
        <w:rPr>
          <w:sz w:val="20"/>
          <w:szCs w:val="20"/>
        </w:rPr>
      </w:pPr>
      <w:r>
        <w:rPr>
          <w:sz w:val="20"/>
          <w:szCs w:val="20"/>
        </w:rPr>
        <w:t>M</w:t>
      </w:r>
      <w:r>
        <w:rPr>
          <w:rFonts w:hint="default"/>
          <w:sz w:val="20"/>
          <w:szCs w:val="20"/>
          <w:lang w:val="fr-FR"/>
        </w:rPr>
        <w:t xml:space="preserve">éthodes </w:t>
      </w:r>
      <w:r>
        <w:rPr>
          <w:sz w:val="20"/>
          <w:szCs w:val="20"/>
        </w:rPr>
        <w:t xml:space="preserve">pédagogiques </w:t>
      </w:r>
      <w:r>
        <w:rPr>
          <w:rFonts w:hint="default"/>
          <w:sz w:val="20"/>
          <w:szCs w:val="20"/>
          <w:lang w:val="fr-FR"/>
        </w:rPr>
        <w:t>attendues</w:t>
      </w:r>
      <w:r>
        <w:rPr>
          <w:sz w:val="20"/>
          <w:szCs w:val="20"/>
        </w:rPr>
        <w:t xml:space="preserve"> :</w:t>
      </w:r>
    </w:p>
    <w:p w14:paraId="18047BB5">
      <w:pPr>
        <w:numPr>
          <w:ilvl w:val="0"/>
          <w:numId w:val="15"/>
        </w:numPr>
        <w:ind w:left="840" w:leftChars="0" w:hanging="420" w:firstLineChars="0"/>
        <w:rPr>
          <w:rFonts w:hint="default"/>
          <w:b w:val="0"/>
          <w:bCs w:val="0"/>
          <w:iCs/>
          <w:sz w:val="20"/>
          <w:szCs w:val="20"/>
          <w:highlight w:val="none"/>
          <w:lang w:val="fr-FR"/>
        </w:rPr>
      </w:pPr>
      <w:r>
        <w:rPr>
          <w:rFonts w:hint="default"/>
          <w:b w:val="0"/>
          <w:bCs w:val="0"/>
          <w:iCs/>
          <w:sz w:val="20"/>
          <w:szCs w:val="20"/>
          <w:highlight w:val="none"/>
          <w:lang w:val="fr-FR"/>
        </w:rPr>
        <w:t>Apports théoriques</w:t>
      </w:r>
    </w:p>
    <w:p w14:paraId="2F524A0E">
      <w:pPr>
        <w:numPr>
          <w:ilvl w:val="0"/>
          <w:numId w:val="15"/>
        </w:numPr>
        <w:ind w:left="840" w:leftChars="0" w:hanging="420" w:firstLineChars="0"/>
        <w:rPr>
          <w:rFonts w:hint="default"/>
          <w:b w:val="0"/>
          <w:bCs w:val="0"/>
          <w:iCs/>
          <w:sz w:val="20"/>
          <w:szCs w:val="20"/>
          <w:highlight w:val="none"/>
          <w:lang w:val="fr-FR"/>
        </w:rPr>
      </w:pPr>
      <w:r>
        <w:rPr>
          <w:rFonts w:hint="default"/>
          <w:b w:val="0"/>
          <w:bCs w:val="0"/>
          <w:iCs/>
          <w:sz w:val="20"/>
          <w:szCs w:val="20"/>
          <w:highlight w:val="none"/>
          <w:lang w:val="fr-FR"/>
        </w:rPr>
        <w:t>Exemples de cas</w:t>
      </w:r>
    </w:p>
    <w:p w14:paraId="338AE770">
      <w:pPr>
        <w:numPr>
          <w:ilvl w:val="0"/>
          <w:numId w:val="15"/>
        </w:numPr>
        <w:ind w:left="840" w:leftChars="0" w:hanging="420" w:firstLineChars="0"/>
        <w:rPr>
          <w:rFonts w:hint="default"/>
          <w:b w:val="0"/>
          <w:bCs w:val="0"/>
          <w:iCs/>
          <w:sz w:val="20"/>
          <w:szCs w:val="20"/>
          <w:highlight w:val="none"/>
          <w:lang w:val="fr-FR"/>
        </w:rPr>
      </w:pPr>
      <w:r>
        <w:rPr>
          <w:rFonts w:hint="default"/>
          <w:b w:val="0"/>
          <w:bCs w:val="0"/>
          <w:iCs/>
          <w:sz w:val="20"/>
          <w:szCs w:val="20"/>
          <w:highlight w:val="none"/>
          <w:lang w:val="fr-FR"/>
        </w:rPr>
        <w:t>Echanges entre participants et formateur</w:t>
      </w:r>
    </w:p>
    <w:p w14:paraId="6FC83722">
      <w:pPr>
        <w:numPr>
          <w:ilvl w:val="0"/>
          <w:numId w:val="15"/>
        </w:numPr>
        <w:ind w:left="840" w:leftChars="0" w:hanging="420" w:firstLineChars="0"/>
        <w:rPr>
          <w:rFonts w:hint="default"/>
          <w:b w:val="0"/>
          <w:bCs w:val="0"/>
          <w:iCs/>
          <w:sz w:val="20"/>
          <w:szCs w:val="20"/>
          <w:highlight w:val="none"/>
          <w:lang w:val="fr-FR"/>
        </w:rPr>
      </w:pPr>
      <w:r>
        <w:rPr>
          <w:rFonts w:hint="default"/>
          <w:b w:val="0"/>
          <w:bCs w:val="0"/>
          <w:iCs/>
          <w:sz w:val="20"/>
          <w:szCs w:val="20"/>
          <w:highlight w:val="none"/>
          <w:lang w:val="fr-FR"/>
        </w:rPr>
        <w:t xml:space="preserve">Supports pédagogiques remis à l’agent </w:t>
      </w:r>
    </w:p>
    <w:p w14:paraId="7615D7E2">
      <w:pPr>
        <w:pStyle w:val="3"/>
        <w:numPr>
          <w:ilvl w:val="0"/>
          <w:numId w:val="8"/>
        </w:numPr>
        <w:ind w:left="425" w:leftChars="0" w:hanging="425" w:firstLineChars="0"/>
        <w:rPr>
          <w:sz w:val="20"/>
          <w:szCs w:val="20"/>
        </w:rPr>
      </w:pPr>
      <w:r>
        <w:rPr>
          <w:rFonts w:hint="default"/>
          <w:sz w:val="20"/>
          <w:szCs w:val="20"/>
          <w:lang w:val="fr-FR"/>
        </w:rPr>
        <w:t>Contenu attendu</w:t>
      </w:r>
    </w:p>
    <w:p w14:paraId="18FBBE8C">
      <w:pPr>
        <w:numPr>
          <w:ilvl w:val="0"/>
          <w:numId w:val="16"/>
        </w:numPr>
        <w:tabs>
          <w:tab w:val="left" w:pos="840"/>
          <w:tab w:val="clear" w:pos="420"/>
        </w:tabs>
        <w:spacing w:before="120" w:after="120" w:line="240" w:lineRule="auto"/>
        <w:ind w:left="420" w:leftChars="0" w:hanging="420" w:firstLineChars="0"/>
        <w:jc w:val="both"/>
        <w:rPr>
          <w:rFonts w:hint="default"/>
          <w:sz w:val="20"/>
          <w:szCs w:val="20"/>
          <w:lang w:val="fr-FR" w:eastAsia="en-US"/>
        </w:rPr>
      </w:pPr>
      <w:r>
        <w:rPr>
          <w:rFonts w:hint="default"/>
          <w:sz w:val="20"/>
          <w:szCs w:val="20"/>
          <w:lang w:val="fr-FR" w:eastAsia="en-US"/>
        </w:rPr>
        <w:t>Réglementation</w:t>
      </w:r>
    </w:p>
    <w:p w14:paraId="1222D64D">
      <w:pPr>
        <w:numPr>
          <w:ilvl w:val="0"/>
          <w:numId w:val="17"/>
        </w:numPr>
        <w:tabs>
          <w:tab w:val="clear" w:pos="840"/>
        </w:tabs>
        <w:spacing w:before="120" w:after="120" w:line="240" w:lineRule="auto"/>
        <w:ind w:left="840" w:leftChars="0" w:hanging="420" w:firstLineChars="0"/>
        <w:jc w:val="both"/>
        <w:rPr>
          <w:rFonts w:hint="default"/>
          <w:sz w:val="20"/>
          <w:szCs w:val="20"/>
          <w:lang w:val="fr-FR" w:eastAsia="en-US"/>
        </w:rPr>
      </w:pPr>
      <w:r>
        <w:rPr>
          <w:rFonts w:hint="default"/>
          <w:sz w:val="20"/>
          <w:szCs w:val="20"/>
          <w:lang w:val="fr-FR" w:eastAsia="en-US"/>
        </w:rPr>
        <w:t>Les obligations et règles qui s’appliquent aux archives publiques (code du patrimoine, conservation, tri, élimination, versement, visa préalable pour les éliminations…);</w:t>
      </w:r>
    </w:p>
    <w:p w14:paraId="268C82EC">
      <w:pPr>
        <w:numPr>
          <w:ilvl w:val="0"/>
          <w:numId w:val="17"/>
        </w:numPr>
        <w:tabs>
          <w:tab w:val="clear" w:pos="840"/>
        </w:tabs>
        <w:spacing w:before="120" w:after="120" w:line="240" w:lineRule="auto"/>
        <w:ind w:left="840" w:leftChars="0" w:hanging="420" w:firstLineChars="0"/>
        <w:jc w:val="both"/>
        <w:rPr>
          <w:rFonts w:hint="default"/>
          <w:sz w:val="20"/>
          <w:szCs w:val="20"/>
          <w:lang w:val="fr-FR" w:eastAsia="en-US"/>
        </w:rPr>
      </w:pPr>
      <w:r>
        <w:rPr>
          <w:rFonts w:hint="default"/>
          <w:sz w:val="20"/>
          <w:szCs w:val="20"/>
          <w:lang w:val="fr-FR" w:eastAsia="en-US"/>
        </w:rPr>
        <w:t>Les obligations en matière de communication des archives publiques : règles de communicabilité du code du patrimoine, Code des relations entre le public et l'administration…;</w:t>
      </w:r>
    </w:p>
    <w:p w14:paraId="00A46120">
      <w:pPr>
        <w:numPr>
          <w:ilvl w:val="0"/>
          <w:numId w:val="18"/>
        </w:numPr>
        <w:tabs>
          <w:tab w:val="clear" w:pos="420"/>
        </w:tabs>
        <w:spacing w:before="120" w:after="120" w:line="240" w:lineRule="auto"/>
        <w:ind w:left="420" w:leftChars="0" w:hanging="420" w:firstLineChars="0"/>
        <w:jc w:val="both"/>
        <w:rPr>
          <w:rFonts w:hint="default"/>
          <w:sz w:val="20"/>
          <w:szCs w:val="20"/>
          <w:lang w:val="fr-FR" w:eastAsia="en-US"/>
        </w:rPr>
      </w:pPr>
      <w:r>
        <w:rPr>
          <w:rFonts w:hint="default"/>
          <w:sz w:val="20"/>
          <w:szCs w:val="20"/>
          <w:lang w:val="fr-FR" w:eastAsia="en-US"/>
        </w:rPr>
        <w:t>Organisation des services d’archive</w:t>
      </w:r>
    </w:p>
    <w:p w14:paraId="03CE486B">
      <w:pPr>
        <w:numPr>
          <w:ilvl w:val="0"/>
          <w:numId w:val="19"/>
        </w:numPr>
        <w:spacing w:before="120" w:after="120" w:line="240" w:lineRule="auto"/>
        <w:ind w:left="840" w:leftChars="0" w:hanging="420" w:firstLineChars="0"/>
        <w:jc w:val="both"/>
        <w:rPr>
          <w:rFonts w:hint="default"/>
          <w:sz w:val="20"/>
          <w:szCs w:val="20"/>
          <w:lang w:val="fr-FR" w:eastAsia="en-US"/>
        </w:rPr>
      </w:pPr>
      <w:r>
        <w:rPr>
          <w:rFonts w:hint="default"/>
          <w:sz w:val="20"/>
          <w:szCs w:val="20"/>
          <w:lang w:val="fr-FR" w:eastAsia="en-US"/>
        </w:rPr>
        <w:t>L'organisation des archives en France : les réseaux national et territorial;</w:t>
      </w:r>
    </w:p>
    <w:p w14:paraId="7B18152A">
      <w:pPr>
        <w:numPr>
          <w:ilvl w:val="0"/>
          <w:numId w:val="19"/>
        </w:numPr>
        <w:spacing w:before="120" w:after="120" w:line="240" w:lineRule="auto"/>
        <w:ind w:left="840" w:leftChars="0" w:hanging="420" w:firstLineChars="0"/>
        <w:jc w:val="both"/>
        <w:rPr>
          <w:rFonts w:hint="default"/>
          <w:sz w:val="20"/>
          <w:szCs w:val="20"/>
          <w:lang w:val="fr-FR" w:eastAsia="en-US"/>
        </w:rPr>
      </w:pPr>
      <w:r>
        <w:rPr>
          <w:rFonts w:hint="default"/>
          <w:sz w:val="20"/>
          <w:szCs w:val="20"/>
          <w:lang w:val="fr-FR" w:eastAsia="en-US"/>
        </w:rPr>
        <w:t>L’organisation des archives du Ministère des armées;</w:t>
      </w:r>
    </w:p>
    <w:p w14:paraId="2C59CFAC">
      <w:pPr>
        <w:numPr>
          <w:ilvl w:val="0"/>
          <w:numId w:val="0"/>
        </w:numPr>
        <w:tabs>
          <w:tab w:val="left" w:pos="840"/>
        </w:tabs>
        <w:spacing w:before="120" w:after="120" w:line="240" w:lineRule="auto"/>
        <w:jc w:val="both"/>
        <w:rPr>
          <w:rFonts w:hint="default"/>
          <w:sz w:val="20"/>
          <w:szCs w:val="20"/>
          <w:lang w:val="fr-FR" w:eastAsia="en-US"/>
        </w:rPr>
      </w:pPr>
      <w:r>
        <w:rPr>
          <w:rFonts w:hint="default"/>
          <w:sz w:val="20"/>
          <w:szCs w:val="20"/>
          <w:lang w:val="fr-FR" w:eastAsia="en-US"/>
        </w:rPr>
        <w:t>Gestion, conservation des archives</w:t>
      </w:r>
    </w:p>
    <w:p w14:paraId="1BBCE46D">
      <w:pPr>
        <w:numPr>
          <w:ilvl w:val="0"/>
          <w:numId w:val="19"/>
        </w:numPr>
        <w:spacing w:before="120" w:after="120" w:line="240" w:lineRule="auto"/>
        <w:ind w:left="840" w:leftChars="0" w:hanging="420" w:firstLineChars="0"/>
        <w:jc w:val="both"/>
        <w:rPr>
          <w:rFonts w:hint="default"/>
          <w:sz w:val="20"/>
          <w:szCs w:val="20"/>
          <w:lang w:val="fr-FR" w:eastAsia="en-US"/>
        </w:rPr>
      </w:pPr>
      <w:r>
        <w:rPr>
          <w:rFonts w:hint="default"/>
          <w:sz w:val="20"/>
          <w:szCs w:val="20"/>
          <w:lang w:val="fr-FR" w:eastAsia="en-US"/>
        </w:rPr>
        <w:t>Les définitions essentielles sur les archives : notions d'archives, d'archives publiques, de cycle de vie des documents;</w:t>
      </w:r>
    </w:p>
    <w:p w14:paraId="0796C378">
      <w:pPr>
        <w:numPr>
          <w:ilvl w:val="0"/>
          <w:numId w:val="19"/>
        </w:numPr>
        <w:spacing w:before="120" w:after="120" w:line="240" w:lineRule="auto"/>
        <w:ind w:left="840" w:leftChars="0" w:hanging="420" w:firstLineChars="0"/>
        <w:jc w:val="both"/>
        <w:rPr>
          <w:rFonts w:hint="default"/>
          <w:sz w:val="20"/>
          <w:szCs w:val="20"/>
          <w:lang w:val="fr-FR" w:eastAsia="en-US"/>
        </w:rPr>
      </w:pPr>
      <w:r>
        <w:rPr>
          <w:rFonts w:hint="default"/>
          <w:sz w:val="20"/>
          <w:szCs w:val="20"/>
          <w:lang w:val="fr-FR" w:eastAsia="en-US"/>
        </w:rPr>
        <w:t>La différence entre archive et documentation;</w:t>
      </w:r>
    </w:p>
    <w:p w14:paraId="1B66F5A5">
      <w:pPr>
        <w:numPr>
          <w:ilvl w:val="0"/>
          <w:numId w:val="19"/>
        </w:numPr>
        <w:spacing w:before="120" w:after="120" w:line="240" w:lineRule="auto"/>
        <w:ind w:left="840" w:leftChars="0" w:hanging="420" w:firstLineChars="0"/>
        <w:jc w:val="both"/>
        <w:rPr>
          <w:rFonts w:hint="default"/>
          <w:sz w:val="20"/>
          <w:szCs w:val="20"/>
          <w:lang w:val="fr-FR" w:eastAsia="en-US"/>
        </w:rPr>
      </w:pPr>
      <w:r>
        <w:rPr>
          <w:rFonts w:hint="default"/>
          <w:sz w:val="20"/>
          <w:szCs w:val="20"/>
          <w:lang w:val="fr-FR" w:eastAsia="en-US"/>
        </w:rPr>
        <w:t>La collecte, les outils et procédures;</w:t>
      </w:r>
    </w:p>
    <w:p w14:paraId="5BAB61BA">
      <w:pPr>
        <w:numPr>
          <w:ilvl w:val="0"/>
          <w:numId w:val="19"/>
        </w:numPr>
        <w:spacing w:before="120" w:after="120" w:line="240" w:lineRule="auto"/>
        <w:ind w:left="840" w:leftChars="0" w:hanging="420" w:firstLineChars="0"/>
        <w:jc w:val="both"/>
        <w:rPr>
          <w:rFonts w:hint="default"/>
          <w:sz w:val="20"/>
          <w:szCs w:val="20"/>
          <w:lang w:val="fr-FR" w:eastAsia="en-US"/>
        </w:rPr>
      </w:pPr>
      <w:r>
        <w:rPr>
          <w:rFonts w:hint="default"/>
          <w:sz w:val="20"/>
          <w:szCs w:val="20"/>
          <w:lang w:val="fr-FR" w:eastAsia="en-US"/>
        </w:rPr>
        <w:t>Le principe de respect des fonds, les normes de classement et description des fonds;</w:t>
      </w:r>
    </w:p>
    <w:p w14:paraId="641F6517">
      <w:pPr>
        <w:numPr>
          <w:ilvl w:val="0"/>
          <w:numId w:val="19"/>
        </w:numPr>
        <w:spacing w:before="120" w:after="120" w:line="240" w:lineRule="auto"/>
        <w:ind w:left="840" w:leftChars="0" w:hanging="420" w:firstLineChars="0"/>
        <w:jc w:val="both"/>
        <w:rPr>
          <w:rFonts w:hint="default"/>
          <w:sz w:val="20"/>
          <w:szCs w:val="20"/>
          <w:lang w:val="fr-FR" w:eastAsia="en-US"/>
        </w:rPr>
      </w:pPr>
      <w:r>
        <w:rPr>
          <w:rFonts w:hint="default"/>
          <w:sz w:val="20"/>
          <w:szCs w:val="20"/>
          <w:lang w:val="fr-FR" w:eastAsia="en-US"/>
        </w:rPr>
        <w:t>La conservation des archives : bases de la conservation préventive et du conditionnement des archives papier et photographiques.</w:t>
      </w:r>
    </w:p>
    <w:p w14:paraId="26071368">
      <w:pPr>
        <w:spacing w:before="0" w:after="160" w:line="259" w:lineRule="auto"/>
        <w:jc w:val="left"/>
        <w:rPr>
          <w:rFonts w:hint="default" w:ascii="Calibri" w:hAnsi="Calibri" w:eastAsia="Calibri" w:cs="Times New Roman"/>
          <w:b/>
          <w:bCs/>
          <w:szCs w:val="22"/>
          <w:lang w:val="fr-FR" w:eastAsia="en-US"/>
        </w:rPr>
      </w:pPr>
      <w:r>
        <w:rPr>
          <w:rFonts w:hint="default" w:ascii="Calibri" w:hAnsi="Calibri" w:eastAsia="Calibri" w:cs="Times New Roman"/>
          <w:b/>
          <w:bCs/>
          <w:szCs w:val="22"/>
          <w:lang w:val="fr-FR" w:eastAsia="en-US"/>
        </w:rPr>
        <w:t>Livrables attendus:</w:t>
      </w:r>
    </w:p>
    <w:p w14:paraId="7CCEA16A">
      <w:pPr>
        <w:spacing w:before="0" w:after="160" w:line="259" w:lineRule="auto"/>
        <w:jc w:val="left"/>
        <w:rPr>
          <w:rFonts w:ascii="Calibri" w:hAnsi="Calibri" w:eastAsia="Calibri" w:cs="Times New Roman"/>
          <w:szCs w:val="22"/>
        </w:rPr>
      </w:pPr>
      <w:r>
        <w:rPr>
          <w:rFonts w:ascii="Calibri" w:hAnsi="Calibri" w:eastAsia="Calibri" w:cs="Times New Roman"/>
          <w:szCs w:val="22"/>
        </w:rPr>
        <w:t>Le titulaire devra fournir, pour chaque stagiaire :</w:t>
      </w:r>
    </w:p>
    <w:p w14:paraId="1E1348C9">
      <w:pPr>
        <w:numPr>
          <w:ilvl w:val="0"/>
          <w:numId w:val="20"/>
        </w:numPr>
        <w:spacing w:after="160" w:line="259" w:lineRule="auto"/>
        <w:ind w:left="720" w:hanging="360"/>
        <w:contextualSpacing/>
        <w:rPr>
          <w:rFonts w:ascii="Calibri" w:hAnsi="Calibri" w:eastAsia="Calibri" w:cs="Times New Roman"/>
          <w:sz w:val="22"/>
          <w:szCs w:val="22"/>
          <w:lang w:val="fr-FR" w:eastAsia="en-US" w:bidi="ar-SA"/>
        </w:rPr>
      </w:pPr>
      <w:r>
        <w:rPr>
          <w:rFonts w:ascii="Calibri" w:hAnsi="Calibri" w:eastAsia="Calibri" w:cs="Times New Roman"/>
          <w:sz w:val="22"/>
          <w:szCs w:val="22"/>
          <w:lang w:val="fr-FR" w:eastAsia="en-US" w:bidi="ar-SA"/>
        </w:rPr>
        <w:t>Un support de formation complet (format numérique)</w:t>
      </w:r>
      <w:r>
        <w:rPr>
          <w:rFonts w:hint="default" w:ascii="Calibri" w:hAnsi="Calibri" w:eastAsia="Calibri" w:cs="Times New Roman"/>
          <w:sz w:val="22"/>
          <w:szCs w:val="22"/>
          <w:lang w:val="fr-FR" w:eastAsia="en-US" w:bidi="ar-SA"/>
        </w:rPr>
        <w:t>,</w:t>
      </w:r>
    </w:p>
    <w:p w14:paraId="67565E19">
      <w:pPr>
        <w:numPr>
          <w:ilvl w:val="0"/>
          <w:numId w:val="20"/>
        </w:numPr>
        <w:spacing w:after="160" w:line="259" w:lineRule="auto"/>
        <w:ind w:left="720" w:hanging="360"/>
        <w:contextualSpacing/>
        <w:rPr>
          <w:rFonts w:ascii="Calibri" w:hAnsi="Calibri" w:eastAsia="Calibri" w:cs="Times New Roman"/>
          <w:sz w:val="22"/>
          <w:szCs w:val="22"/>
          <w:lang w:val="fr-FR" w:eastAsia="en-US" w:bidi="ar-SA"/>
        </w:rPr>
      </w:pPr>
      <w:r>
        <w:rPr>
          <w:rFonts w:ascii="Calibri" w:hAnsi="Calibri" w:eastAsia="Calibri" w:cs="Times New Roman"/>
          <w:sz w:val="22"/>
          <w:szCs w:val="22"/>
          <w:lang w:val="fr-FR" w:eastAsia="en-US" w:bidi="ar-SA"/>
        </w:rPr>
        <w:t>Une attestation de formation</w:t>
      </w:r>
      <w:r>
        <w:rPr>
          <w:rFonts w:hint="default" w:ascii="Calibri" w:hAnsi="Calibri" w:eastAsia="Calibri" w:cs="Times New Roman"/>
          <w:sz w:val="22"/>
          <w:szCs w:val="22"/>
          <w:lang w:val="fr-FR" w:eastAsia="en-US" w:bidi="ar-SA"/>
        </w:rPr>
        <w:t>,</w:t>
      </w:r>
    </w:p>
    <w:p w14:paraId="70289C2A">
      <w:pPr>
        <w:numPr>
          <w:ilvl w:val="0"/>
          <w:numId w:val="20"/>
        </w:numPr>
        <w:spacing w:after="160" w:line="259" w:lineRule="auto"/>
        <w:ind w:left="720" w:hanging="360"/>
        <w:contextualSpacing/>
        <w:rPr>
          <w:rFonts w:ascii="Calibri" w:hAnsi="Calibri" w:eastAsia="Calibri" w:cs="Times New Roman"/>
          <w:sz w:val="22"/>
          <w:szCs w:val="22"/>
          <w:lang w:val="fr-FR" w:eastAsia="en-US" w:bidi="ar-SA"/>
        </w:rPr>
      </w:pPr>
      <w:r>
        <w:rPr>
          <w:rFonts w:ascii="Calibri" w:hAnsi="Calibri" w:eastAsia="Calibri" w:cs="Times New Roman"/>
          <w:sz w:val="22"/>
          <w:szCs w:val="22"/>
          <w:lang w:val="fr-FR" w:eastAsia="en-US" w:bidi="ar-SA"/>
        </w:rPr>
        <w:t>Une évaluation de satisfaction</w:t>
      </w:r>
      <w:r>
        <w:rPr>
          <w:rFonts w:hint="default" w:ascii="Calibri" w:hAnsi="Calibri" w:eastAsia="Calibri" w:cs="Times New Roman"/>
          <w:sz w:val="22"/>
          <w:szCs w:val="22"/>
          <w:lang w:val="fr-FR" w:eastAsia="en-US" w:bidi="ar-SA"/>
        </w:rPr>
        <w:t>.</w:t>
      </w:r>
    </w:p>
    <w:p w14:paraId="677ED462">
      <w:pPr>
        <w:spacing w:before="0" w:after="160" w:line="259" w:lineRule="auto"/>
        <w:jc w:val="left"/>
        <w:rPr>
          <w:rFonts w:ascii="Calibri" w:hAnsi="Calibri" w:eastAsia="Calibri" w:cs="Times New Roman"/>
          <w:b/>
          <w:bCs/>
          <w:szCs w:val="22"/>
        </w:rPr>
      </w:pPr>
    </w:p>
    <w:p w14:paraId="604F6D33">
      <w:pPr>
        <w:spacing w:before="0" w:after="160" w:line="259" w:lineRule="auto"/>
        <w:jc w:val="left"/>
        <w:rPr>
          <w:rFonts w:ascii="Calibri" w:hAnsi="Calibri" w:eastAsia="Calibri" w:cs="Times New Roman"/>
          <w:b/>
          <w:bCs/>
          <w:szCs w:val="22"/>
        </w:rPr>
      </w:pPr>
      <w:r>
        <w:rPr>
          <w:rFonts w:ascii="Calibri" w:hAnsi="Calibri" w:eastAsia="Calibri" w:cs="Times New Roman"/>
          <w:b/>
          <w:bCs/>
          <w:szCs w:val="22"/>
        </w:rPr>
        <w:t>Exigences relatives au formateur</w:t>
      </w:r>
    </w:p>
    <w:p w14:paraId="2C13BC25">
      <w:pPr>
        <w:spacing w:before="0" w:after="160" w:line="259" w:lineRule="auto"/>
        <w:jc w:val="left"/>
        <w:rPr>
          <w:rFonts w:ascii="Calibri" w:hAnsi="Calibri" w:eastAsia="Calibri" w:cs="Times New Roman"/>
          <w:szCs w:val="22"/>
        </w:rPr>
      </w:pPr>
      <w:r>
        <w:rPr>
          <w:rFonts w:ascii="Calibri" w:hAnsi="Calibri" w:eastAsia="Calibri" w:cs="Times New Roman"/>
          <w:szCs w:val="22"/>
        </w:rPr>
        <w:t>Le formateur devra justifier :</w:t>
      </w:r>
    </w:p>
    <w:p w14:paraId="0C25A513">
      <w:pPr>
        <w:numPr>
          <w:ilvl w:val="0"/>
          <w:numId w:val="21"/>
        </w:numPr>
        <w:spacing w:after="160" w:line="259" w:lineRule="auto"/>
        <w:ind w:left="720" w:hanging="360"/>
        <w:contextualSpacing/>
        <w:rPr>
          <w:rFonts w:ascii="Calibri" w:hAnsi="Calibri" w:eastAsia="Calibri" w:cs="Times New Roman"/>
          <w:sz w:val="22"/>
          <w:szCs w:val="22"/>
          <w:lang w:val="fr-FR" w:eastAsia="en-US" w:bidi="ar-SA"/>
        </w:rPr>
      </w:pPr>
      <w:r>
        <w:rPr>
          <w:rFonts w:ascii="Calibri" w:hAnsi="Calibri" w:eastAsia="Calibri" w:cs="Times New Roman"/>
          <w:sz w:val="22"/>
          <w:szCs w:val="22"/>
          <w:lang w:val="fr-FR" w:eastAsia="en-US" w:bidi="ar-SA"/>
        </w:rPr>
        <w:t>d’une expertise avérée en archivistique,</w:t>
      </w:r>
    </w:p>
    <w:p w14:paraId="384B9884">
      <w:pPr>
        <w:numPr>
          <w:ilvl w:val="0"/>
          <w:numId w:val="21"/>
        </w:numPr>
        <w:spacing w:after="160" w:line="259" w:lineRule="auto"/>
        <w:ind w:left="720" w:hanging="360"/>
        <w:contextualSpacing/>
        <w:rPr>
          <w:rFonts w:ascii="Calibri" w:hAnsi="Calibri" w:eastAsia="Calibri" w:cs="Times New Roman"/>
          <w:sz w:val="22"/>
          <w:szCs w:val="22"/>
          <w:lang w:val="fr-FR" w:eastAsia="en-US" w:bidi="ar-SA"/>
        </w:rPr>
      </w:pPr>
      <w:r>
        <w:rPr>
          <w:rFonts w:ascii="Calibri" w:hAnsi="Calibri" w:eastAsia="Calibri" w:cs="Times New Roman"/>
          <w:sz w:val="22"/>
          <w:szCs w:val="22"/>
          <w:lang w:val="fr-FR" w:eastAsia="en-US" w:bidi="ar-SA"/>
        </w:rPr>
        <w:t>d’une connaissance dans le domaine des archives publiques,</w:t>
      </w:r>
    </w:p>
    <w:p w14:paraId="2CA3F287">
      <w:pPr>
        <w:numPr>
          <w:ilvl w:val="0"/>
          <w:numId w:val="21"/>
        </w:numPr>
        <w:spacing w:after="160" w:line="259" w:lineRule="auto"/>
        <w:ind w:left="720" w:hanging="360"/>
        <w:contextualSpacing/>
        <w:rPr>
          <w:rFonts w:ascii="Calibri" w:hAnsi="Calibri" w:eastAsia="Calibri" w:cs="Times New Roman"/>
          <w:sz w:val="22"/>
          <w:szCs w:val="22"/>
          <w:lang w:val="fr-FR" w:eastAsia="en-US" w:bidi="ar-SA"/>
        </w:rPr>
      </w:pPr>
      <w:r>
        <w:rPr>
          <w:rFonts w:ascii="Calibri" w:hAnsi="Calibri" w:eastAsia="Calibri" w:cs="Times New Roman"/>
          <w:sz w:val="22"/>
          <w:szCs w:val="22"/>
          <w:lang w:val="fr-FR" w:eastAsia="en-US" w:bidi="ar-SA"/>
        </w:rPr>
        <w:t>d’une expérience significative en formation professionnelle</w:t>
      </w:r>
      <w:r>
        <w:rPr>
          <w:rFonts w:hint="default" w:ascii="Calibri" w:hAnsi="Calibri" w:eastAsia="Calibri" w:cs="Times New Roman"/>
          <w:sz w:val="22"/>
          <w:szCs w:val="22"/>
          <w:lang w:val="fr-FR" w:eastAsia="en-US" w:bidi="ar-SA"/>
        </w:rPr>
        <w:t>.</w:t>
      </w:r>
    </w:p>
    <w:p w14:paraId="7D97A3DC">
      <w:pPr>
        <w:numPr>
          <w:numId w:val="0"/>
        </w:numPr>
        <w:spacing w:before="120" w:after="160" w:line="259" w:lineRule="auto"/>
        <w:contextualSpacing/>
        <w:jc w:val="both"/>
        <w:rPr>
          <w:rFonts w:ascii="Calibri" w:hAnsi="Calibri" w:eastAsia="Calibri" w:cs="Times New Roman"/>
          <w:sz w:val="22"/>
          <w:szCs w:val="22"/>
          <w:lang w:val="fr-FR" w:eastAsia="en-US" w:bidi="ar-SA"/>
        </w:rPr>
      </w:pPr>
    </w:p>
    <w:p w14:paraId="43E17B24">
      <w:pPr>
        <w:numPr>
          <w:ilvl w:val="0"/>
          <w:numId w:val="0"/>
        </w:numPr>
        <w:spacing w:after="160" w:line="259" w:lineRule="auto"/>
        <w:contextualSpacing/>
        <w:rPr>
          <w:rFonts w:hint="default" w:ascii="Calibri" w:hAnsi="Calibri" w:eastAsia="Calibri" w:cs="Times New Roman"/>
          <w:sz w:val="22"/>
          <w:szCs w:val="22"/>
          <w:lang w:val="fr-FR" w:eastAsia="en-US" w:bidi="ar-SA"/>
        </w:rPr>
      </w:pPr>
    </w:p>
    <w:p w14:paraId="38263C7D">
      <w:pPr>
        <w:numPr>
          <w:ilvl w:val="0"/>
          <w:numId w:val="0"/>
        </w:numPr>
        <w:spacing w:after="160" w:line="259" w:lineRule="auto"/>
        <w:contextualSpacing/>
        <w:rPr>
          <w:rFonts w:hint="default" w:ascii="Calibri" w:hAnsi="Calibri" w:eastAsia="Calibri" w:cs="Times New Roman"/>
          <w:sz w:val="22"/>
          <w:szCs w:val="22"/>
          <w:lang w:val="fr-FR" w:eastAsia="en-US" w:bidi="ar-SA"/>
        </w:rPr>
      </w:pPr>
      <w:r>
        <w:rPr>
          <w:rFonts w:hint="default" w:ascii="Calibri" w:hAnsi="Calibri" w:eastAsia="Calibri" w:cs="Times New Roman"/>
          <w:sz w:val="22"/>
          <w:szCs w:val="22"/>
          <w:lang w:val="fr-FR" w:eastAsia="en-US" w:bidi="ar-SA"/>
        </w:rPr>
        <w:t>Il proposera un programme détaillé, structuré en notions et modules.</w:t>
      </w:r>
    </w:p>
    <w:p w14:paraId="48F15744">
      <w:pPr>
        <w:numPr>
          <w:ilvl w:val="0"/>
          <w:numId w:val="0"/>
        </w:numPr>
        <w:spacing w:after="160" w:line="259" w:lineRule="auto"/>
        <w:contextualSpacing/>
        <w:rPr>
          <w:rFonts w:hint="default" w:ascii="Calibri" w:hAnsi="Calibri" w:eastAsia="Calibri" w:cs="Times New Roman"/>
          <w:sz w:val="22"/>
          <w:szCs w:val="22"/>
          <w:lang w:val="fr-FR" w:eastAsia="en-US" w:bidi="ar-SA"/>
        </w:rPr>
      </w:pPr>
    </w:p>
    <w:p w14:paraId="331A1DE8">
      <w:pPr>
        <w:numPr>
          <w:ilvl w:val="0"/>
          <w:numId w:val="0"/>
        </w:numPr>
        <w:spacing w:after="160" w:line="259" w:lineRule="auto"/>
        <w:contextualSpacing/>
        <w:rPr>
          <w:rFonts w:hint="default" w:ascii="Calibri" w:hAnsi="Calibri" w:eastAsia="Calibri" w:cs="Times New Roman"/>
          <w:sz w:val="22"/>
          <w:szCs w:val="22"/>
          <w:lang w:val="fr-FR" w:eastAsia="en-US" w:bidi="ar-SA"/>
        </w:rPr>
      </w:pPr>
      <w:r>
        <w:rPr>
          <w:rFonts w:hint="default" w:ascii="Calibri" w:hAnsi="Calibri" w:eastAsia="Calibri" w:cs="Times New Roman"/>
          <w:sz w:val="22"/>
          <w:szCs w:val="22"/>
          <w:lang w:val="fr-FR" w:eastAsia="en-US" w:bidi="ar-SA"/>
        </w:rPr>
        <w:t>Les supports seront remis en version numérique.</w:t>
      </w:r>
    </w:p>
    <w:p w14:paraId="40530918">
      <w:pPr>
        <w:numPr>
          <w:ilvl w:val="0"/>
          <w:numId w:val="0"/>
        </w:numPr>
        <w:spacing w:after="160" w:line="259" w:lineRule="auto"/>
        <w:contextualSpacing/>
        <w:rPr>
          <w:rFonts w:hint="default" w:ascii="Calibri" w:hAnsi="Calibri" w:eastAsia="Calibri" w:cs="Times New Roman"/>
          <w:sz w:val="22"/>
          <w:szCs w:val="22"/>
          <w:lang w:val="fr-FR" w:eastAsia="en-US" w:bidi="ar-SA"/>
        </w:rPr>
      </w:pPr>
    </w:p>
    <w:p w14:paraId="5D585392">
      <w:pPr>
        <w:numPr>
          <w:ilvl w:val="0"/>
          <w:numId w:val="0"/>
        </w:numPr>
        <w:spacing w:after="160" w:line="259" w:lineRule="auto"/>
        <w:contextualSpacing/>
        <w:rPr>
          <w:rFonts w:hint="default" w:ascii="Calibri" w:hAnsi="Calibri" w:eastAsia="Calibri" w:cs="Times New Roman"/>
          <w:sz w:val="22"/>
          <w:szCs w:val="22"/>
          <w:lang w:val="fr-FR" w:eastAsia="en-US" w:bidi="ar-SA"/>
        </w:rPr>
      </w:pPr>
      <w:r>
        <w:rPr>
          <w:rFonts w:hint="default" w:ascii="Calibri" w:hAnsi="Calibri" w:eastAsia="Calibri" w:cs="Times New Roman"/>
          <w:sz w:val="22"/>
          <w:szCs w:val="22"/>
          <w:lang w:val="fr-FR" w:eastAsia="en-US" w:bidi="ar-SA"/>
        </w:rPr>
        <w:t>Le calendrier sera défini en accord avec l’établissement.</w:t>
      </w:r>
    </w:p>
    <w:p w14:paraId="7E2DE5CF">
      <w:pPr>
        <w:numPr>
          <w:ilvl w:val="0"/>
          <w:numId w:val="0"/>
        </w:numPr>
        <w:spacing w:after="160" w:line="259" w:lineRule="auto"/>
        <w:contextualSpacing/>
        <w:rPr>
          <w:rFonts w:hint="default" w:ascii="Calibri" w:hAnsi="Calibri" w:eastAsia="Calibri" w:cs="Times New Roman"/>
          <w:sz w:val="22"/>
          <w:szCs w:val="22"/>
          <w:lang w:val="fr-FR" w:eastAsia="en-US" w:bidi="ar-SA"/>
        </w:rPr>
      </w:pPr>
    </w:p>
    <w:p w14:paraId="32742F88">
      <w:pPr>
        <w:numPr>
          <w:ilvl w:val="0"/>
          <w:numId w:val="0"/>
        </w:numPr>
        <w:spacing w:after="160" w:line="259" w:lineRule="auto"/>
        <w:contextualSpacing/>
        <w:rPr>
          <w:rFonts w:hint="default" w:ascii="Calibri" w:hAnsi="Calibri" w:eastAsia="Calibri" w:cs="Times New Roman"/>
          <w:sz w:val="22"/>
          <w:szCs w:val="22"/>
          <w:lang w:val="fr-FR" w:eastAsia="en-US" w:bidi="ar-SA"/>
        </w:rPr>
      </w:pPr>
      <w:r>
        <w:rPr>
          <w:rFonts w:hint="default" w:ascii="Calibri" w:hAnsi="Calibri" w:eastAsia="Calibri" w:cs="Times New Roman"/>
          <w:sz w:val="22"/>
          <w:szCs w:val="22"/>
          <w:lang w:val="fr-FR" w:eastAsia="en-US" w:bidi="ar-SA"/>
        </w:rPr>
        <w:t>Une réunion de préparation est à prévoir pour ajuster le programme au contexte IGN.</w:t>
      </w:r>
    </w:p>
    <w:p w14:paraId="6FDED4B0">
      <w:pPr>
        <w:pStyle w:val="2"/>
        <w:rPr>
          <w:sz w:val="20"/>
          <w:szCs w:val="20"/>
        </w:rPr>
      </w:pPr>
      <w:r>
        <w:rPr>
          <w:sz w:val="20"/>
          <w:szCs w:val="20"/>
        </w:rPr>
        <w:t xml:space="preserve">DISPOSITIONS ADMINISTRATIVES </w:t>
      </w:r>
    </w:p>
    <w:p w14:paraId="27CD2EB6">
      <w:pPr>
        <w:pStyle w:val="3"/>
        <w:ind w:left="796" w:leftChars="0" w:firstLineChars="0"/>
        <w:rPr>
          <w:sz w:val="20"/>
          <w:szCs w:val="20"/>
        </w:rPr>
      </w:pPr>
      <w:bookmarkStart w:id="6" w:name="_Toc177388441"/>
      <w:r>
        <w:rPr>
          <w:sz w:val="20"/>
          <w:szCs w:val="20"/>
        </w:rPr>
        <w:t>Forme du marché</w:t>
      </w:r>
      <w:bookmarkEnd w:id="6"/>
    </w:p>
    <w:p w14:paraId="0585CCD2">
      <w:pPr>
        <w:rPr>
          <w:rStyle w:val="15"/>
          <w:b/>
          <w:bCs w:val="0"/>
          <w:color w:val="auto"/>
          <w:sz w:val="20"/>
          <w:szCs w:val="20"/>
          <w:highlight w:val="none"/>
        </w:rPr>
      </w:pPr>
      <w:sdt>
        <w:sdtPr>
          <w:rPr>
            <w:rStyle w:val="15"/>
            <w:b w:val="0"/>
            <w:bCs/>
            <w:sz w:val="20"/>
            <w:szCs w:val="20"/>
          </w:rPr>
          <w:id w:val="-724601758"/>
          <w14:checkbox>
            <w14:checked w14:val="0"/>
            <w14:checkedState w14:val="2612" w14:font="MS Gothic"/>
            <w14:uncheckedState w14:val="2610" w14:font="MS Gothic"/>
          </w14:checkbox>
        </w:sdtPr>
        <w:sdtEndPr>
          <w:rPr>
            <w:rStyle w:val="15"/>
            <w:b w:val="0"/>
            <w:bCs/>
            <w:color w:val="auto"/>
            <w:sz w:val="20"/>
            <w:szCs w:val="20"/>
            <w:highlight w:val="none"/>
          </w:rPr>
        </w:sdtEndPr>
        <w:sdtContent>
          <w:r>
            <w:rPr>
              <w:rFonts w:hint="eastAsia" w:ascii="MS Gothic" w:hAnsi="MS Gothic" w:eastAsia="MS Gothic" w:cstheme="minorBidi"/>
              <w:b/>
              <w:bCs w:val="0"/>
              <w:iCs/>
              <w:color w:val="000000" w:themeColor="text1"/>
              <w:sz w:val="20"/>
              <w:szCs w:val="20"/>
              <w:highlight w:val="none"/>
              <w:lang w:val="fr-FR" w:eastAsia="en-US" w:bidi="ar-SA"/>
              <w14:textFill>
                <w14:solidFill>
                  <w14:schemeClr w14:val="tx1"/>
                </w14:solidFill>
              </w14:textFill>
            </w:rPr>
            <w:t>☐</w:t>
          </w:r>
        </w:sdtContent>
      </w:sdt>
      <w:r>
        <w:rPr>
          <w:rStyle w:val="15"/>
          <w:b w:val="0"/>
          <w:bCs/>
          <w:color w:val="auto"/>
          <w:sz w:val="20"/>
          <w:szCs w:val="20"/>
          <w:highlight w:val="none"/>
        </w:rPr>
        <w:t xml:space="preserve"> </w:t>
      </w:r>
      <w:r>
        <w:rPr>
          <w:rStyle w:val="15"/>
          <w:rFonts w:hint="default"/>
          <w:b w:val="0"/>
          <w:bCs/>
          <w:color w:val="auto"/>
          <w:sz w:val="20"/>
          <w:szCs w:val="20"/>
          <w:highlight w:val="none"/>
          <w:lang w:val="fr-FR"/>
        </w:rPr>
        <w:t xml:space="preserve">Il s’agit d’un </w:t>
      </w:r>
      <w:r>
        <w:rPr>
          <w:rStyle w:val="15"/>
          <w:b w:val="0"/>
          <w:bCs/>
          <w:color w:val="auto"/>
          <w:sz w:val="20"/>
          <w:szCs w:val="20"/>
          <w:highlight w:val="none"/>
        </w:rPr>
        <w:t>marché ordinaire rémunéré par un prix global et forfaitaire</w:t>
      </w:r>
      <w:r>
        <w:rPr>
          <w:rStyle w:val="15"/>
          <w:b/>
          <w:bCs w:val="0"/>
          <w:color w:val="auto"/>
          <w:sz w:val="20"/>
          <w:szCs w:val="20"/>
          <w:highlight w:val="none"/>
        </w:rPr>
        <w:t>.</w:t>
      </w:r>
    </w:p>
    <w:p w14:paraId="790F3973">
      <w:pPr>
        <w:rPr>
          <w:b/>
          <w:bCs w:val="0"/>
          <w:sz w:val="20"/>
          <w:szCs w:val="20"/>
          <w:highlight w:val="yellow"/>
        </w:rPr>
      </w:pPr>
      <w:sdt>
        <w:sdtPr>
          <w:rPr>
            <w:bCs/>
            <w:sz w:val="20"/>
            <w:szCs w:val="20"/>
            <w:highlight w:val="yellow"/>
          </w:rPr>
          <w:id w:val="-1371226652"/>
          <w14:checkbox>
            <w14:checked w14:val="1"/>
            <w14:checkedState w14:val="2612" w14:font="MS Gothic"/>
            <w14:uncheckedState w14:val="2610" w14:font="MS Gothic"/>
          </w14:checkbox>
        </w:sdtPr>
        <w:sdtEndPr>
          <w:rPr>
            <w:b/>
            <w:bCs w:val="0"/>
            <w:sz w:val="20"/>
            <w:szCs w:val="20"/>
            <w:highlight w:val="yellow"/>
          </w:rPr>
        </w:sdtEndPr>
        <w:sdtContent>
          <w:r>
            <w:rPr>
              <w:rFonts w:hint="eastAsia" w:ascii="MS Gothic" w:hAnsi="MS Gothic" w:eastAsia="MS Gothic" w:cstheme="minorBidi"/>
              <w:b/>
              <w:bCs w:val="0"/>
              <w:color w:val="000000" w:themeColor="text1"/>
              <w:sz w:val="20"/>
              <w:szCs w:val="20"/>
              <w:highlight w:val="yellow"/>
              <w:lang w:val="fr-FR" w:eastAsia="en-US" w:bidi="ar-SA"/>
              <w14:textFill>
                <w14:solidFill>
                  <w14:schemeClr w14:val="tx1"/>
                </w14:solidFill>
              </w14:textFill>
            </w:rPr>
            <w:t>☒</w:t>
          </w:r>
        </w:sdtContent>
      </w:sdt>
      <w:r>
        <w:rPr>
          <w:rStyle w:val="15"/>
          <w:b/>
          <w:bCs w:val="0"/>
          <w:sz w:val="20"/>
          <w:szCs w:val="20"/>
          <w:highlight w:val="yellow"/>
        </w:rPr>
        <w:t>Le marché est passé sous la forme d’un accord-cadre à bons de commande mono-attributaire rémunéré par des prix unitaires</w:t>
      </w:r>
      <w:r>
        <w:rPr>
          <w:b/>
          <w:bCs w:val="0"/>
          <w:sz w:val="20"/>
          <w:szCs w:val="20"/>
          <w:highlight w:val="yellow"/>
        </w:rPr>
        <w:t>. Les bons de commande sont émis par l’acheteur au fur et à mesure des besoins.</w:t>
      </w:r>
    </w:p>
    <w:p w14:paraId="48296299">
      <w:pPr>
        <w:pStyle w:val="3"/>
        <w:ind w:left="796" w:leftChars="0" w:firstLineChars="0"/>
        <w:rPr>
          <w:sz w:val="20"/>
          <w:szCs w:val="20"/>
        </w:rPr>
      </w:pPr>
      <w:r>
        <w:rPr>
          <w:sz w:val="20"/>
          <w:szCs w:val="20"/>
        </w:rPr>
        <w:t xml:space="preserve">Durée et délais d’exécution </w:t>
      </w:r>
    </w:p>
    <w:p w14:paraId="76B857C1">
      <w:pPr>
        <w:pStyle w:val="4"/>
        <w:ind w:left="567" w:hanging="567"/>
        <w:rPr>
          <w:sz w:val="20"/>
          <w:szCs w:val="20"/>
        </w:rPr>
      </w:pPr>
      <w:r>
        <w:rPr>
          <w:sz w:val="20"/>
          <w:szCs w:val="20"/>
        </w:rPr>
        <w:t>Durée</w:t>
      </w:r>
    </w:p>
    <w:p w14:paraId="6675F86C">
      <w:pPr>
        <w:pStyle w:val="67"/>
        <w:rPr>
          <w:sz w:val="20"/>
          <w:szCs w:val="20"/>
        </w:rPr>
      </w:pPr>
      <w:r>
        <w:rPr>
          <w:sz w:val="20"/>
          <w:szCs w:val="20"/>
        </w:rPr>
        <w:t>Le présent marché est :</w:t>
      </w:r>
    </w:p>
    <w:p w14:paraId="56C82F29">
      <w:pPr>
        <w:rPr>
          <w:b/>
          <w:bCs/>
          <w:sz w:val="20"/>
          <w:szCs w:val="20"/>
          <w:highlight w:val="yellow"/>
        </w:rPr>
      </w:pPr>
      <w:sdt>
        <w:sdtPr>
          <w:rPr>
            <w:sz w:val="20"/>
            <w:szCs w:val="20"/>
          </w:rPr>
          <w:id w:val="805431812"/>
          <w14:checkbox>
            <w14:checked w14:val="1"/>
            <w14:checkedState w14:val="2612" w14:font="MS Gothic"/>
            <w14:uncheckedState w14:val="2610" w14:font="MS Gothic"/>
          </w14:checkbox>
        </w:sdtPr>
        <w:sdtEndPr>
          <w:rPr>
            <w:b/>
            <w:bCs/>
            <w:sz w:val="20"/>
            <w:szCs w:val="20"/>
            <w:highlight w:val="yellow"/>
          </w:rPr>
        </w:sdtEndPr>
        <w:sdtContent>
          <w:r>
            <w:rPr>
              <w:rFonts w:hint="eastAsia" w:ascii="MS Gothic" w:hAnsi="MS Gothic" w:eastAsia="MS Gothic" w:cstheme="minorBidi"/>
              <w:b/>
              <w:bCs/>
              <w:color w:val="000000" w:themeColor="text1"/>
              <w:sz w:val="20"/>
              <w:szCs w:val="20"/>
              <w:highlight w:val="yellow"/>
              <w:lang w:val="fr-FR" w:eastAsia="en-US" w:bidi="ar-SA"/>
              <w14:textFill>
                <w14:solidFill>
                  <w14:schemeClr w14:val="tx1"/>
                </w14:solidFill>
              </w14:textFill>
            </w:rPr>
            <w:t>☒</w:t>
          </w:r>
        </w:sdtContent>
      </w:sdt>
      <w:r>
        <w:rPr>
          <w:b/>
          <w:bCs/>
          <w:sz w:val="20"/>
          <w:szCs w:val="20"/>
          <w:highlight w:val="yellow"/>
        </w:rPr>
        <w:t xml:space="preserve"> </w:t>
      </w:r>
      <w:r>
        <w:rPr>
          <w:b/>
          <w:bCs/>
          <w:iCs/>
          <w:highlight w:val="yellow"/>
        </w:rPr>
        <w:t>Ponctuel</w:t>
      </w:r>
      <w:r>
        <w:rPr>
          <w:b/>
          <w:bCs/>
          <w:sz w:val="20"/>
          <w:szCs w:val="20"/>
          <w:highlight w:val="yellow"/>
        </w:rPr>
        <w:t xml:space="preserve"> - Il prend effet à compter de sa date de notification et s’achève après la réalisation d</w:t>
      </w:r>
      <w:r>
        <w:rPr>
          <w:rFonts w:hint="default"/>
          <w:b/>
          <w:bCs/>
          <w:sz w:val="20"/>
          <w:szCs w:val="20"/>
          <w:highlight w:val="yellow"/>
          <w:lang w:val="fr-FR"/>
        </w:rPr>
        <w:t xml:space="preserve">e chaque </w:t>
      </w:r>
      <w:r>
        <w:rPr>
          <w:b/>
          <w:bCs/>
          <w:sz w:val="20"/>
          <w:szCs w:val="20"/>
          <w:highlight w:val="yellow"/>
        </w:rPr>
        <w:t>prestation.</w:t>
      </w:r>
    </w:p>
    <w:p w14:paraId="41444F3D">
      <w:pPr>
        <w:rPr>
          <w:b w:val="0"/>
          <w:bCs w:val="0"/>
          <w:sz w:val="20"/>
          <w:szCs w:val="20"/>
          <w:highlight w:val="none"/>
        </w:rPr>
      </w:pPr>
      <w:sdt>
        <w:sdtPr>
          <w:rPr>
            <w:b/>
            <w:bCs/>
            <w:sz w:val="20"/>
            <w:szCs w:val="20"/>
            <w:highlight w:val="yellow"/>
          </w:rPr>
          <w:id w:val="-286282165"/>
          <w14:checkbox>
            <w14:checked w14:val="0"/>
            <w14:checkedState w14:val="2612" w14:font="MS Gothic"/>
            <w14:uncheckedState w14:val="2610" w14:font="MS Gothic"/>
          </w14:checkbox>
        </w:sdtPr>
        <w:sdtEndPr>
          <w:rPr>
            <w:b w:val="0"/>
            <w:bCs w:val="0"/>
            <w:sz w:val="20"/>
            <w:szCs w:val="20"/>
            <w:highlight w:val="none"/>
          </w:rPr>
        </w:sdtEndPr>
        <w:sdtContent>
          <w:r>
            <w:rPr>
              <w:rFonts w:hint="eastAsia" w:ascii="MS Gothic" w:hAnsi="MS Gothic" w:eastAsia="MS Gothic"/>
              <w:b w:val="0"/>
              <w:bCs w:val="0"/>
              <w:sz w:val="20"/>
              <w:szCs w:val="20"/>
              <w:highlight w:val="none"/>
            </w:rPr>
            <w:t>☐</w:t>
          </w:r>
        </w:sdtContent>
      </w:sdt>
      <w:r>
        <w:rPr>
          <w:b w:val="0"/>
          <w:bCs w:val="0"/>
          <w:sz w:val="20"/>
          <w:szCs w:val="20"/>
          <w:highlight w:val="none"/>
        </w:rPr>
        <w:t xml:space="preserve"> </w:t>
      </w:r>
      <w:r>
        <w:rPr>
          <w:b w:val="0"/>
          <w:bCs w:val="0"/>
          <w:szCs w:val="22"/>
          <w:highlight w:val="none"/>
        </w:rPr>
        <w:t xml:space="preserve">Annuel - </w:t>
      </w:r>
      <w:r>
        <w:rPr>
          <w:b w:val="0"/>
          <w:bCs w:val="0"/>
          <w:sz w:val="20"/>
          <w:szCs w:val="20"/>
          <w:highlight w:val="none"/>
        </w:rPr>
        <w:t>Il prend effet à compter de sa date de notification pour une durée d’un (1) an, puis renouvelable par reconduction tacite pour une nouvelle période d’un (1) an.</w:t>
      </w:r>
    </w:p>
    <w:p w14:paraId="20D4C37A">
      <w:pPr>
        <w:rPr>
          <w:b w:val="0"/>
          <w:bCs w:val="0"/>
          <w:sz w:val="20"/>
          <w:szCs w:val="20"/>
          <w:highlight w:val="none"/>
        </w:rPr>
      </w:pPr>
      <w:r>
        <w:rPr>
          <w:b w:val="0"/>
          <w:bCs w:val="0"/>
          <w:sz w:val="20"/>
          <w:szCs w:val="20"/>
          <w:highlight w:val="none"/>
        </w:rPr>
        <w:t>En cas de non-reconduction, le titulaire sera informé avec un préavis de deux mois.</w:t>
      </w:r>
    </w:p>
    <w:p w14:paraId="74A09F17">
      <w:pPr>
        <w:pStyle w:val="4"/>
        <w:ind w:left="567" w:hanging="567"/>
        <w:rPr>
          <w:sz w:val="20"/>
          <w:szCs w:val="20"/>
        </w:rPr>
      </w:pPr>
      <w:r>
        <w:rPr>
          <w:sz w:val="20"/>
          <w:szCs w:val="20"/>
        </w:rPr>
        <w:t>Dates, horaires et délais d’exécution</w:t>
      </w:r>
    </w:p>
    <w:p w14:paraId="054C58B6">
      <w:pPr>
        <w:pStyle w:val="5"/>
        <w:ind w:hanging="297"/>
        <w:rPr>
          <w:sz w:val="20"/>
          <w:szCs w:val="20"/>
        </w:rPr>
      </w:pPr>
      <w:r>
        <w:rPr>
          <w:sz w:val="20"/>
          <w:szCs w:val="20"/>
        </w:rPr>
        <w:t>Délais d’exécution</w:t>
      </w:r>
    </w:p>
    <w:p w14:paraId="51041D94">
      <w:pPr>
        <w:rPr>
          <w:sz w:val="20"/>
          <w:szCs w:val="20"/>
        </w:rPr>
      </w:pPr>
      <w:r>
        <w:rPr>
          <w:sz w:val="20"/>
          <w:szCs w:val="20"/>
        </w:rPr>
        <w:t>Les délais contractuels d’exécution des prestations sont précisés dans l’offre technique du titulaire.</w:t>
      </w:r>
    </w:p>
    <w:p w14:paraId="5BECACE2">
      <w:pPr>
        <w:pStyle w:val="5"/>
        <w:ind w:hanging="297"/>
        <w:rPr>
          <w:sz w:val="20"/>
          <w:szCs w:val="20"/>
        </w:rPr>
      </w:pPr>
      <w:r>
        <w:rPr>
          <w:sz w:val="20"/>
          <w:szCs w:val="20"/>
        </w:rPr>
        <w:t>Dates et horaires</w:t>
      </w:r>
    </w:p>
    <w:p w14:paraId="26650D2A">
      <w:pPr>
        <w:rPr>
          <w:sz w:val="20"/>
          <w:szCs w:val="20"/>
        </w:rPr>
      </w:pPr>
      <w:r>
        <w:rPr>
          <w:sz w:val="20"/>
          <w:szCs w:val="20"/>
        </w:rPr>
        <w:t>Les dates et les horaires d’exécution des prestations seront confirmés après la notification du marché.</w:t>
      </w:r>
    </w:p>
    <w:p w14:paraId="7E580BAB">
      <w:pPr>
        <w:pStyle w:val="3"/>
        <w:ind w:left="796" w:leftChars="0" w:firstLineChars="0"/>
        <w:rPr>
          <w:sz w:val="20"/>
          <w:szCs w:val="20"/>
        </w:rPr>
      </w:pPr>
      <w:r>
        <w:rPr>
          <w:sz w:val="20"/>
          <w:szCs w:val="20"/>
        </w:rPr>
        <w:t>Documents contractuels</w:t>
      </w:r>
    </w:p>
    <w:p w14:paraId="5504D73F">
      <w:pPr>
        <w:pStyle w:val="67"/>
        <w:keepNext w:val="0"/>
        <w:spacing w:before="0"/>
        <w:rPr>
          <w:sz w:val="20"/>
          <w:szCs w:val="20"/>
        </w:rPr>
      </w:pPr>
      <w:r>
        <w:rPr>
          <w:sz w:val="20"/>
          <w:szCs w:val="20"/>
        </w:rPr>
        <w:t>Toute clause figurant aux conditions générales du titulaire sur ses tarifs ou au dos de ses factures, et contraire aux documents indiqués ci-dessous, est réputée non écrite.</w:t>
      </w:r>
    </w:p>
    <w:p w14:paraId="1A5283F2">
      <w:pPr>
        <w:pStyle w:val="67"/>
        <w:spacing w:before="0"/>
        <w:rPr>
          <w:sz w:val="20"/>
          <w:szCs w:val="20"/>
        </w:rPr>
      </w:pPr>
      <w:r>
        <w:rPr>
          <w:sz w:val="20"/>
          <w:szCs w:val="20"/>
        </w:rPr>
        <w:t>Le marché est constitué par les documents contractuels énumérés ci-dessous par ordre de priorité décroissante :</w:t>
      </w:r>
    </w:p>
    <w:p w14:paraId="19696433">
      <w:pPr>
        <w:pStyle w:val="23"/>
        <w:numPr>
          <w:ilvl w:val="0"/>
          <w:numId w:val="22"/>
        </w:numPr>
        <w:rPr>
          <w:sz w:val="20"/>
          <w:szCs w:val="20"/>
        </w:rPr>
      </w:pPr>
      <w:r>
        <w:rPr>
          <w:sz w:val="20"/>
          <w:szCs w:val="20"/>
        </w:rPr>
        <w:t xml:space="preserve">Le présent </w:t>
      </w:r>
      <w:r>
        <w:rPr>
          <w:rStyle w:val="15"/>
          <w:sz w:val="20"/>
          <w:szCs w:val="20"/>
        </w:rPr>
        <w:t>cahier des clauses particulières valant acte d’engagement</w:t>
      </w:r>
      <w:r>
        <w:rPr>
          <w:sz w:val="20"/>
          <w:szCs w:val="20"/>
        </w:rPr>
        <w:t xml:space="preserve"> (CCP-AE n°GBM_2</w:t>
      </w:r>
      <w:r>
        <w:rPr>
          <w:rFonts w:hint="default"/>
          <w:sz w:val="20"/>
          <w:szCs w:val="20"/>
          <w:lang w:val="fr-FR"/>
        </w:rPr>
        <w:t>6018</w:t>
      </w:r>
      <w:r>
        <w:rPr>
          <w:sz w:val="20"/>
          <w:szCs w:val="20"/>
        </w:rPr>
        <w:t>) et son annexe financière</w:t>
      </w:r>
      <w:r>
        <w:rPr>
          <w:rFonts w:ascii="Calibri" w:hAnsi="Calibri" w:cs="Calibri"/>
          <w:sz w:val="20"/>
          <w:szCs w:val="20"/>
        </w:rPr>
        <w:t> </w:t>
      </w:r>
      <w:r>
        <w:rPr>
          <w:sz w:val="20"/>
          <w:szCs w:val="20"/>
        </w:rPr>
        <w:t>;</w:t>
      </w:r>
    </w:p>
    <w:p w14:paraId="7B35B25E">
      <w:pPr>
        <w:pStyle w:val="23"/>
        <w:rPr>
          <w:sz w:val="20"/>
          <w:szCs w:val="20"/>
        </w:rPr>
      </w:pPr>
      <w:r>
        <w:rPr>
          <w:sz w:val="20"/>
          <w:szCs w:val="20"/>
        </w:rPr>
        <w:t xml:space="preserve">Le </w:t>
      </w:r>
      <w:r>
        <w:rPr>
          <w:rStyle w:val="15"/>
          <w:sz w:val="20"/>
          <w:szCs w:val="20"/>
        </w:rPr>
        <w:t>cahier des clauses administratives générales des marchés publics de fournitures courantes et de services</w:t>
      </w:r>
      <w:r>
        <w:rPr>
          <w:sz w:val="20"/>
          <w:szCs w:val="20"/>
        </w:rPr>
        <w:t xml:space="preserve"> (CCAG-FCS), approuvé par arrêté interministériel du 30</w:t>
      </w:r>
      <w:r>
        <w:rPr>
          <w:rFonts w:ascii="Calibri" w:hAnsi="Calibri" w:cs="Calibri"/>
          <w:sz w:val="20"/>
          <w:szCs w:val="20"/>
        </w:rPr>
        <w:t> </w:t>
      </w:r>
      <w:r>
        <w:rPr>
          <w:sz w:val="20"/>
          <w:szCs w:val="20"/>
        </w:rPr>
        <w:t>mars 2021 (JORF n° 0078 du 1</w:t>
      </w:r>
      <w:r>
        <w:rPr>
          <w:sz w:val="20"/>
          <w:szCs w:val="20"/>
          <w:vertAlign w:val="superscript"/>
        </w:rPr>
        <w:t>er</w:t>
      </w:r>
      <w:r>
        <w:rPr>
          <w:rFonts w:ascii="Calibri" w:hAnsi="Calibri" w:cs="Calibri"/>
          <w:sz w:val="20"/>
          <w:szCs w:val="20"/>
        </w:rPr>
        <w:t> </w:t>
      </w:r>
      <w:r>
        <w:rPr>
          <w:sz w:val="20"/>
          <w:szCs w:val="20"/>
        </w:rPr>
        <w:t>avril 2021)</w:t>
      </w:r>
      <w:r>
        <w:rPr>
          <w:rFonts w:ascii="Calibri" w:hAnsi="Calibri" w:cs="Calibri"/>
          <w:sz w:val="20"/>
          <w:szCs w:val="20"/>
        </w:rPr>
        <w:t> </w:t>
      </w:r>
      <w:r>
        <w:rPr>
          <w:sz w:val="20"/>
          <w:szCs w:val="20"/>
        </w:rPr>
        <w:t>;</w:t>
      </w:r>
    </w:p>
    <w:p w14:paraId="6B989C02">
      <w:pPr>
        <w:pStyle w:val="23"/>
        <w:rPr>
          <w:sz w:val="20"/>
          <w:szCs w:val="20"/>
        </w:rPr>
      </w:pPr>
      <w:r>
        <w:rPr>
          <w:sz w:val="20"/>
          <w:szCs w:val="20"/>
        </w:rPr>
        <w:t>L’</w:t>
      </w:r>
      <w:r>
        <w:rPr>
          <w:rStyle w:val="15"/>
          <w:sz w:val="20"/>
          <w:szCs w:val="20"/>
        </w:rPr>
        <w:t xml:space="preserve">offre technique </w:t>
      </w:r>
      <w:r>
        <w:rPr>
          <w:sz w:val="20"/>
          <w:szCs w:val="20"/>
        </w:rPr>
        <w:t>du titulaire</w:t>
      </w:r>
      <w:r>
        <w:rPr>
          <w:rFonts w:ascii="Calibri" w:hAnsi="Calibri" w:cs="Calibri"/>
          <w:sz w:val="20"/>
          <w:szCs w:val="20"/>
        </w:rPr>
        <w:t> </w:t>
      </w:r>
      <w:r>
        <w:rPr>
          <w:sz w:val="20"/>
          <w:szCs w:val="20"/>
        </w:rPr>
        <w:t>;</w:t>
      </w:r>
    </w:p>
    <w:p w14:paraId="2DED76A9">
      <w:pPr>
        <w:pStyle w:val="23"/>
        <w:rPr>
          <w:sz w:val="20"/>
          <w:szCs w:val="20"/>
        </w:rPr>
      </w:pPr>
      <w:r>
        <w:rPr>
          <w:sz w:val="20"/>
          <w:szCs w:val="20"/>
        </w:rPr>
        <w:t>Toutes autres pièces particulières contractuelles réclamées au stade de la passation ou de l’exécution du marché.</w:t>
      </w:r>
    </w:p>
    <w:p w14:paraId="0FE816A6">
      <w:pPr>
        <w:pStyle w:val="3"/>
        <w:ind w:left="796" w:leftChars="0" w:firstLineChars="0"/>
        <w:rPr>
          <w:sz w:val="20"/>
          <w:szCs w:val="20"/>
        </w:rPr>
      </w:pPr>
      <w:r>
        <w:rPr>
          <w:sz w:val="20"/>
          <w:szCs w:val="20"/>
        </w:rPr>
        <w:t xml:space="preserve">Modalités administratives d’exécution des prestations </w:t>
      </w:r>
    </w:p>
    <w:p w14:paraId="42FA00E4">
      <w:pPr>
        <w:pStyle w:val="4"/>
        <w:spacing w:after="120"/>
        <w:ind w:left="567" w:hanging="595"/>
        <w:rPr>
          <w:sz w:val="20"/>
          <w:szCs w:val="20"/>
        </w:rPr>
      </w:pPr>
      <w:r>
        <w:rPr>
          <w:sz w:val="20"/>
          <w:szCs w:val="20"/>
        </w:rPr>
        <w:t>Correspondants techniques et administratifs</w:t>
      </w:r>
    </w:p>
    <w:p w14:paraId="0C010A37">
      <w:pPr>
        <w:pStyle w:val="67"/>
        <w:spacing w:before="0"/>
        <w:rPr>
          <w:sz w:val="20"/>
          <w:szCs w:val="20"/>
        </w:rPr>
      </w:pPr>
      <w:r>
        <w:rPr>
          <w:sz w:val="20"/>
          <w:szCs w:val="20"/>
        </w:rPr>
        <w:t>Les interlocuteurs du titulaire sont :</w:t>
      </w:r>
    </w:p>
    <w:p w14:paraId="1EF19C3A">
      <w:pPr>
        <w:pStyle w:val="31"/>
        <w:spacing w:before="0"/>
        <w:contextualSpacing/>
        <w:rPr>
          <w:sz w:val="20"/>
          <w:szCs w:val="20"/>
        </w:rPr>
      </w:pPr>
      <w:r>
        <w:rPr>
          <w:rStyle w:val="15"/>
          <w:sz w:val="20"/>
          <w:szCs w:val="20"/>
        </w:rPr>
        <w:t>Interlocuteur technique :</w:t>
      </w:r>
      <w:r>
        <w:rPr>
          <w:sz w:val="20"/>
          <w:szCs w:val="20"/>
        </w:rPr>
        <w:t xml:space="preserve"> IGN/SREF/</w:t>
      </w:r>
      <w:bookmarkStart w:id="7" w:name="_Hlk180492074"/>
      <w:r>
        <w:rPr>
          <w:sz w:val="20"/>
          <w:szCs w:val="20"/>
        </w:rPr>
        <w:t>Département GPEEC Formation</w:t>
      </w:r>
      <w:r>
        <w:rPr>
          <w:rFonts w:ascii="Calibri" w:hAnsi="Calibri" w:cs="Calibri"/>
          <w:sz w:val="20"/>
          <w:szCs w:val="20"/>
        </w:rPr>
        <w:t> </w:t>
      </w:r>
      <w:bookmarkEnd w:id="7"/>
      <w:r>
        <w:rPr>
          <w:sz w:val="20"/>
          <w:szCs w:val="20"/>
        </w:rPr>
        <w:t>:</w:t>
      </w:r>
    </w:p>
    <w:p w14:paraId="3603120C">
      <w:pPr>
        <w:pStyle w:val="17"/>
        <w:numPr>
          <w:ilvl w:val="0"/>
          <w:numId w:val="0"/>
        </w:numPr>
        <w:spacing w:before="0"/>
        <w:ind w:left="567"/>
        <w:contextualSpacing/>
        <w:rPr>
          <w:sz w:val="20"/>
          <w:szCs w:val="20"/>
        </w:rPr>
      </w:pPr>
      <w:r>
        <w:rPr>
          <w:sz w:val="20"/>
          <w:szCs w:val="20"/>
        </w:rPr>
        <w:t>73, avenue de paris – 94165 Saint-Mandé</w:t>
      </w:r>
    </w:p>
    <w:p w14:paraId="2ED819F2">
      <w:pPr>
        <w:pStyle w:val="17"/>
        <w:numPr>
          <w:ilvl w:val="0"/>
          <w:numId w:val="0"/>
        </w:numPr>
        <w:spacing w:before="0"/>
        <w:ind w:left="567"/>
        <w:rPr>
          <w:sz w:val="20"/>
          <w:szCs w:val="20"/>
        </w:rPr>
      </w:pPr>
      <w:r>
        <w:rPr>
          <w:sz w:val="20"/>
          <w:szCs w:val="20"/>
        </w:rPr>
        <w:t xml:space="preserve">Courriel : </w:t>
      </w:r>
      <w:r>
        <w:fldChar w:fldCharType="begin"/>
      </w:r>
      <w:r>
        <w:instrText xml:space="preserve"> HYPERLINK "mailto:eric.charrier@ign.fr" </w:instrText>
      </w:r>
      <w:r>
        <w:fldChar w:fldCharType="separate"/>
      </w:r>
      <w:r>
        <w:rPr>
          <w:rStyle w:val="12"/>
          <w:sz w:val="20"/>
          <w:szCs w:val="20"/>
        </w:rPr>
        <w:t>eric.charrier@ign.fr</w:t>
      </w:r>
      <w:r>
        <w:rPr>
          <w:rStyle w:val="12"/>
          <w:sz w:val="20"/>
          <w:szCs w:val="20"/>
        </w:rPr>
        <w:fldChar w:fldCharType="end"/>
      </w:r>
    </w:p>
    <w:p w14:paraId="33682C9C">
      <w:pPr>
        <w:pStyle w:val="31"/>
        <w:spacing w:before="0"/>
        <w:ind w:left="568" w:hanging="284"/>
        <w:contextualSpacing/>
        <w:rPr>
          <w:sz w:val="20"/>
          <w:szCs w:val="20"/>
        </w:rPr>
      </w:pPr>
      <w:r>
        <w:rPr>
          <w:rStyle w:val="15"/>
          <w:sz w:val="20"/>
          <w:szCs w:val="20"/>
        </w:rPr>
        <w:t>Interlocuteur administratif :</w:t>
      </w:r>
      <w:r>
        <w:rPr>
          <w:sz w:val="20"/>
          <w:szCs w:val="20"/>
        </w:rPr>
        <w:t xml:space="preserve"> IGN/SAM/Département des marchés</w:t>
      </w:r>
      <w:r>
        <w:rPr>
          <w:rFonts w:ascii="Calibri" w:hAnsi="Calibri" w:cs="Calibri"/>
          <w:sz w:val="20"/>
          <w:szCs w:val="20"/>
        </w:rPr>
        <w:t> </w:t>
      </w:r>
      <w:r>
        <w:rPr>
          <w:sz w:val="20"/>
          <w:szCs w:val="20"/>
        </w:rPr>
        <w:t>:</w:t>
      </w:r>
    </w:p>
    <w:p w14:paraId="3E843264">
      <w:pPr>
        <w:pStyle w:val="17"/>
        <w:numPr>
          <w:ilvl w:val="0"/>
          <w:numId w:val="0"/>
        </w:numPr>
        <w:spacing w:before="0"/>
        <w:ind w:left="567"/>
        <w:contextualSpacing/>
        <w:rPr>
          <w:sz w:val="20"/>
          <w:szCs w:val="20"/>
        </w:rPr>
      </w:pPr>
      <w:r>
        <w:rPr>
          <w:sz w:val="20"/>
          <w:szCs w:val="20"/>
        </w:rPr>
        <w:t>73, avenue de paris – 94165 Saint-Mandé</w:t>
      </w:r>
    </w:p>
    <w:p w14:paraId="78864BF6">
      <w:pPr>
        <w:pStyle w:val="17"/>
        <w:numPr>
          <w:ilvl w:val="0"/>
          <w:numId w:val="0"/>
        </w:numPr>
        <w:spacing w:before="0"/>
        <w:ind w:left="567"/>
        <w:rPr>
          <w:sz w:val="20"/>
          <w:szCs w:val="20"/>
        </w:rPr>
      </w:pPr>
      <w:r>
        <w:rPr>
          <w:sz w:val="20"/>
          <w:szCs w:val="20"/>
        </w:rPr>
        <w:t xml:space="preserve">Courriel : </w:t>
      </w:r>
      <w:r>
        <w:fldChar w:fldCharType="begin"/>
      </w:r>
      <w:r>
        <w:instrText xml:space="preserve"> HYPERLINK "mailto:marches-publics@ign.fr" </w:instrText>
      </w:r>
      <w:r>
        <w:fldChar w:fldCharType="separate"/>
      </w:r>
      <w:r>
        <w:rPr>
          <w:rStyle w:val="12"/>
          <w:sz w:val="20"/>
          <w:szCs w:val="20"/>
        </w:rPr>
        <w:t>marches-publics@ign.fr</w:t>
      </w:r>
      <w:r>
        <w:rPr>
          <w:rStyle w:val="12"/>
          <w:sz w:val="20"/>
          <w:szCs w:val="20"/>
        </w:rPr>
        <w:fldChar w:fldCharType="end"/>
      </w:r>
    </w:p>
    <w:p w14:paraId="533410C4">
      <w:pPr>
        <w:pStyle w:val="4"/>
        <w:spacing w:after="120"/>
        <w:ind w:left="567" w:hanging="567"/>
        <w:rPr>
          <w:sz w:val="20"/>
          <w:szCs w:val="20"/>
        </w:rPr>
      </w:pPr>
      <w:r>
        <w:rPr>
          <w:sz w:val="20"/>
          <w:szCs w:val="20"/>
        </w:rPr>
        <w:t>Attestation de formation</w:t>
      </w:r>
    </w:p>
    <w:p w14:paraId="0F74193B">
      <w:pPr>
        <w:rPr>
          <w:sz w:val="20"/>
          <w:szCs w:val="20"/>
        </w:rPr>
      </w:pPr>
      <w:r>
        <w:rPr>
          <w:sz w:val="20"/>
          <w:szCs w:val="20"/>
        </w:rPr>
        <w:t xml:space="preserve">Le titulaire s’engage à faire parvenir une attestation de formation pour chaque agent ayant suivi une formation. Cette attestation sera envoyée par courrier ou par courriel au Département GPEEC Formation qui la fera parvenir aux agents concernés. </w:t>
      </w:r>
    </w:p>
    <w:p w14:paraId="73F8A0BB">
      <w:pPr>
        <w:rPr>
          <w:sz w:val="20"/>
          <w:szCs w:val="20"/>
        </w:rPr>
      </w:pPr>
      <w:r>
        <w:rPr>
          <w:sz w:val="20"/>
          <w:szCs w:val="20"/>
        </w:rPr>
        <w:t>Le paiement de la prestation est subordonné à la fourniture de l’attestation de formation et, pour les formations en intra, de la feuille de présence émargée par les stagiaires.</w:t>
      </w:r>
    </w:p>
    <w:p w14:paraId="243B1DE5">
      <w:pPr>
        <w:pStyle w:val="4"/>
        <w:spacing w:after="120"/>
        <w:ind w:left="567" w:hanging="567"/>
        <w:rPr>
          <w:sz w:val="20"/>
          <w:szCs w:val="20"/>
        </w:rPr>
      </w:pPr>
      <w:r>
        <w:rPr>
          <w:sz w:val="20"/>
          <w:szCs w:val="20"/>
        </w:rPr>
        <w:t>Modalités d’inscription aux formations</w:t>
      </w:r>
    </w:p>
    <w:p w14:paraId="0AF6ACB1">
      <w:pPr>
        <w:rPr>
          <w:sz w:val="20"/>
          <w:szCs w:val="20"/>
        </w:rPr>
      </w:pPr>
      <w:r>
        <w:rPr>
          <w:sz w:val="20"/>
          <w:szCs w:val="20"/>
        </w:rPr>
        <w:t>Les demandes d’inscription aux sessions de formations seront transmises par le Département GPEEC Formation au titulaire par courrier ou par courriel. Toute demande émanant d’un agent ou de tout autre service de l’IGN sera considérée comme non valide.</w:t>
      </w:r>
    </w:p>
    <w:p w14:paraId="344BB541">
      <w:pPr>
        <w:pStyle w:val="4"/>
        <w:spacing w:after="120"/>
        <w:ind w:left="567" w:hanging="567"/>
        <w:rPr>
          <w:sz w:val="20"/>
          <w:szCs w:val="20"/>
        </w:rPr>
      </w:pPr>
      <w:r>
        <w:rPr>
          <w:sz w:val="20"/>
          <w:szCs w:val="20"/>
        </w:rPr>
        <w:t>Modalités d’annulation ou de changement de date</w:t>
      </w:r>
    </w:p>
    <w:p w14:paraId="577545DE">
      <w:pPr>
        <w:rPr>
          <w:sz w:val="20"/>
          <w:szCs w:val="20"/>
        </w:rPr>
      </w:pPr>
      <w:r>
        <w:rPr>
          <w:sz w:val="20"/>
          <w:szCs w:val="20"/>
        </w:rPr>
        <w:t>Sauf commun accord entre les parties, l’IGN pourra annuler des inscriptions à des sessions de formation ou modifier une date sans pénalités, sous réserve que ces annulations ou modifications interviennent au plus tard 1</w:t>
      </w:r>
      <w:r>
        <w:rPr>
          <w:rFonts w:ascii="Calibri" w:hAnsi="Calibri" w:cs="Calibri"/>
          <w:sz w:val="20"/>
          <w:szCs w:val="20"/>
        </w:rPr>
        <w:t> </w:t>
      </w:r>
      <w:r>
        <w:rPr>
          <w:sz w:val="20"/>
          <w:szCs w:val="20"/>
        </w:rPr>
        <w:t>mois avant la date de la formation.</w:t>
      </w:r>
    </w:p>
    <w:p w14:paraId="49064BE3">
      <w:pPr>
        <w:rPr>
          <w:sz w:val="20"/>
          <w:szCs w:val="20"/>
        </w:rPr>
      </w:pPr>
      <w:r>
        <w:rPr>
          <w:sz w:val="20"/>
          <w:szCs w:val="20"/>
        </w:rPr>
        <w:t>Toute demande d’annulation ou de modification intervenant entre 1</w:t>
      </w:r>
      <w:r>
        <w:rPr>
          <w:rFonts w:ascii="Calibri" w:hAnsi="Calibri" w:cs="Calibri"/>
          <w:sz w:val="20"/>
          <w:szCs w:val="20"/>
        </w:rPr>
        <w:t> </w:t>
      </w:r>
      <w:r>
        <w:rPr>
          <w:sz w:val="20"/>
          <w:szCs w:val="20"/>
        </w:rPr>
        <w:t>mois et 5</w:t>
      </w:r>
      <w:r>
        <w:rPr>
          <w:rFonts w:ascii="Calibri" w:hAnsi="Calibri" w:cs="Calibri"/>
          <w:sz w:val="20"/>
          <w:szCs w:val="20"/>
        </w:rPr>
        <w:t> </w:t>
      </w:r>
      <w:r>
        <w:rPr>
          <w:sz w:val="20"/>
          <w:szCs w:val="20"/>
        </w:rPr>
        <w:t>jours précédant la date de la formation entraînera une indemnité égale à 30</w:t>
      </w:r>
      <w:r>
        <w:rPr>
          <w:rFonts w:ascii="Calibri" w:hAnsi="Calibri" w:cs="Calibri"/>
          <w:sz w:val="20"/>
          <w:szCs w:val="20"/>
        </w:rPr>
        <w:t> </w:t>
      </w:r>
      <w:r>
        <w:rPr>
          <w:sz w:val="20"/>
          <w:szCs w:val="20"/>
        </w:rPr>
        <w:t>% du coût de la formation. Toute formation annulée ou modifiée dans les 5</w:t>
      </w:r>
      <w:r>
        <w:rPr>
          <w:rFonts w:ascii="Calibri" w:hAnsi="Calibri" w:cs="Calibri"/>
          <w:sz w:val="20"/>
          <w:szCs w:val="20"/>
        </w:rPr>
        <w:t> </w:t>
      </w:r>
      <w:r>
        <w:rPr>
          <w:sz w:val="20"/>
          <w:szCs w:val="20"/>
        </w:rPr>
        <w:t>jours précédant son commencement entraînera le paiement d’une indemnité de 50</w:t>
      </w:r>
      <w:r>
        <w:rPr>
          <w:rFonts w:ascii="Calibri" w:hAnsi="Calibri" w:cs="Calibri"/>
          <w:sz w:val="20"/>
          <w:szCs w:val="20"/>
        </w:rPr>
        <w:t> </w:t>
      </w:r>
      <w:r>
        <w:rPr>
          <w:sz w:val="20"/>
          <w:szCs w:val="20"/>
        </w:rPr>
        <w:t>% du coût de la formation.</w:t>
      </w:r>
    </w:p>
    <w:p w14:paraId="119A0F12">
      <w:pPr>
        <w:rPr>
          <w:sz w:val="20"/>
          <w:szCs w:val="20"/>
        </w:rPr>
      </w:pPr>
      <w:r>
        <w:rPr>
          <w:sz w:val="20"/>
          <w:szCs w:val="20"/>
        </w:rPr>
        <w:t>Toute formation commencée sera due en totalité.</w:t>
      </w:r>
    </w:p>
    <w:p w14:paraId="5E40E394">
      <w:pPr>
        <w:rPr>
          <w:sz w:val="20"/>
          <w:szCs w:val="20"/>
        </w:rPr>
      </w:pPr>
      <w:r>
        <w:rPr>
          <w:sz w:val="20"/>
          <w:szCs w:val="20"/>
        </w:rPr>
        <w:t>Par ailleurs, un agent IGN inscrit pourra être remplacé par un autre agent IGN à tout moment (avant le début d’une session) sans frais supplémentaire ou indemnité.</w:t>
      </w:r>
    </w:p>
    <w:p w14:paraId="7A678DE3">
      <w:pPr>
        <w:rPr>
          <w:sz w:val="20"/>
          <w:szCs w:val="20"/>
        </w:rPr>
      </w:pPr>
      <w:r>
        <w:rPr>
          <w:sz w:val="20"/>
          <w:szCs w:val="20"/>
        </w:rPr>
        <w:t>Les demandes d’annulation ou de modification de date seront transférées par courrier ou par courriel par le Département GPEEC Formation qui est le seul autorisé à annuler ou modifier une formation. Toute demande d’annulation émanant d’un agent ou de tout autre service de l’IGN sera considérée comme non valide.</w:t>
      </w:r>
    </w:p>
    <w:p w14:paraId="71BB3798">
      <w:pPr>
        <w:rPr>
          <w:sz w:val="20"/>
          <w:szCs w:val="20"/>
        </w:rPr>
      </w:pPr>
      <w:r>
        <w:rPr>
          <w:sz w:val="20"/>
          <w:szCs w:val="20"/>
        </w:rPr>
        <w:t>En cas d’annulation ou de modification de date par le titulaire, celui-ci s’engage à en informer le Département GPEEC Formation par courrier ou par courriel.</w:t>
      </w:r>
    </w:p>
    <w:p w14:paraId="3650C56B">
      <w:pPr>
        <w:rPr>
          <w:sz w:val="20"/>
          <w:szCs w:val="20"/>
        </w:rPr>
      </w:pPr>
      <w:r>
        <w:rPr>
          <w:sz w:val="20"/>
          <w:szCs w:val="20"/>
        </w:rPr>
        <w:t>Aucun paiement de formation annulée par le titulaire ne pourra être exigé par celui-ci.</w:t>
      </w:r>
    </w:p>
    <w:p w14:paraId="53B275CF">
      <w:pPr>
        <w:pStyle w:val="4"/>
        <w:spacing w:after="120"/>
        <w:ind w:left="567" w:hanging="567"/>
        <w:rPr>
          <w:sz w:val="20"/>
          <w:szCs w:val="20"/>
        </w:rPr>
      </w:pPr>
      <w:r>
        <w:rPr>
          <w:sz w:val="20"/>
          <w:szCs w:val="20"/>
        </w:rPr>
        <w:t>Évaluation des formations</w:t>
      </w:r>
    </w:p>
    <w:p w14:paraId="6CE5EAC1">
      <w:pPr>
        <w:rPr>
          <w:sz w:val="20"/>
          <w:szCs w:val="20"/>
        </w:rPr>
      </w:pPr>
      <w:r>
        <w:rPr>
          <w:sz w:val="20"/>
          <w:szCs w:val="20"/>
        </w:rPr>
        <w:t>Le titulaire s’engage à mettre en œuvre un dispositif d’évaluation dont le résultat est communiqué au Département GPEEC Formation. Lorsque le taux de satisfaction des stagiaires est inférieur à la moyenne, l’IGN et le titulaire se concertent pour établir un diagnostic et, s’il y a lieu, mettre en place des mesures correctives.</w:t>
      </w:r>
    </w:p>
    <w:p w14:paraId="066E15EA">
      <w:pPr>
        <w:pStyle w:val="3"/>
        <w:ind w:left="796" w:leftChars="0" w:firstLineChars="0"/>
        <w:rPr>
          <w:sz w:val="20"/>
          <w:szCs w:val="20"/>
        </w:rPr>
      </w:pPr>
      <w:r>
        <w:rPr>
          <w:sz w:val="20"/>
          <w:szCs w:val="20"/>
        </w:rPr>
        <w:t xml:space="preserve">Prix </w:t>
      </w:r>
    </w:p>
    <w:p w14:paraId="484B6F13">
      <w:pPr>
        <w:rPr>
          <w:sz w:val="20"/>
          <w:szCs w:val="20"/>
        </w:rPr>
      </w:pPr>
      <w:r>
        <w:rPr>
          <w:sz w:val="20"/>
          <w:szCs w:val="20"/>
        </w:rPr>
        <w:t>La monnaie de référence est l’euro. Le taux de TVA applicable est celui en vigueur au moment du fait générateur.</w:t>
      </w:r>
    </w:p>
    <w:p w14:paraId="10F1072B">
      <w:pPr>
        <w:rPr>
          <w:sz w:val="20"/>
          <w:szCs w:val="20"/>
        </w:rPr>
      </w:pPr>
      <w:r>
        <w:rPr>
          <w:sz w:val="20"/>
          <w:szCs w:val="20"/>
        </w:rPr>
        <w:t>Les prix sont réputés comprendre toutes les charges fiscales, parafiscales ou autres frappant obligatoirement la prestation. Ils comprennent également l’ensemble des frais afférents aux éléments constitutifs de la prestation, ainsi que tous les éventuels frais annexes (repas, fourniture et acheminement de supports, déplacement du formateur, frais divers de secrétariat, etc.) pour son exécution complète.</w:t>
      </w:r>
    </w:p>
    <w:p w14:paraId="7658F4CA">
      <w:pPr>
        <w:rPr>
          <w:sz w:val="20"/>
          <w:szCs w:val="20"/>
        </w:rPr>
      </w:pPr>
      <w:r>
        <w:rPr>
          <w:sz w:val="20"/>
          <w:szCs w:val="20"/>
        </w:rPr>
        <w:t>Le titulaire est rémunéré par</w:t>
      </w:r>
      <w:r>
        <w:rPr>
          <w:rFonts w:ascii="Calibri" w:hAnsi="Calibri" w:cs="Calibri"/>
          <w:sz w:val="20"/>
          <w:szCs w:val="20"/>
        </w:rPr>
        <w:t> </w:t>
      </w:r>
      <w:r>
        <w:rPr>
          <w:sz w:val="20"/>
          <w:szCs w:val="20"/>
        </w:rPr>
        <w:t>:</w:t>
      </w:r>
    </w:p>
    <w:p w14:paraId="69CB9A78">
      <w:pPr>
        <w:rPr>
          <w:rFonts w:hint="default"/>
          <w:b w:val="0"/>
          <w:bCs w:val="0"/>
          <w:sz w:val="20"/>
          <w:szCs w:val="20"/>
          <w:highlight w:val="none"/>
          <w:lang w:val="fr-FR"/>
        </w:rPr>
      </w:pPr>
      <w:sdt>
        <w:sdtPr>
          <w:rPr>
            <w:sz w:val="20"/>
            <w:szCs w:val="20"/>
          </w:rPr>
          <w:id w:val="-13078417"/>
          <w14:checkbox>
            <w14:checked w14:val="0"/>
            <w14:checkedState w14:val="2612" w14:font="MS Gothic"/>
            <w14:uncheckedState w14:val="2610" w14:font="MS Gothic"/>
          </w14:checkbox>
        </w:sdtPr>
        <w:sdtEndPr>
          <w:rPr>
            <w:b/>
            <w:bCs/>
            <w:sz w:val="20"/>
            <w:szCs w:val="20"/>
            <w:highlight w:val="none"/>
          </w:rPr>
        </w:sdtEndPr>
        <w:sdtContent>
          <w:r>
            <w:rPr>
              <w:rFonts w:hint="eastAsia" w:ascii="MS Gothic" w:hAnsi="MS Gothic" w:eastAsia="MS Gothic" w:cstheme="minorBidi"/>
              <w:color w:val="000000" w:themeColor="text1"/>
              <w:sz w:val="20"/>
              <w:szCs w:val="20"/>
              <w:lang w:val="fr-FR" w:eastAsia="en-US" w:bidi="ar-SA"/>
              <w14:textFill>
                <w14:solidFill>
                  <w14:schemeClr w14:val="tx1"/>
                </w14:solidFill>
              </w14:textFill>
            </w:rPr>
            <w:t>☐</w:t>
          </w:r>
        </w:sdtContent>
      </w:sdt>
      <w:r>
        <w:rPr>
          <w:b/>
          <w:bCs/>
          <w:sz w:val="20"/>
          <w:szCs w:val="20"/>
          <w:highlight w:val="none"/>
        </w:rPr>
        <w:t xml:space="preserve"> </w:t>
      </w:r>
      <w:r>
        <w:rPr>
          <w:b w:val="0"/>
          <w:bCs w:val="0"/>
          <w:sz w:val="20"/>
          <w:szCs w:val="20"/>
          <w:highlight w:val="none"/>
        </w:rPr>
        <w:t>Un prix global et forfaitaire</w:t>
      </w:r>
      <w:r>
        <w:rPr>
          <w:rFonts w:hint="default"/>
          <w:b w:val="0"/>
          <w:bCs w:val="0"/>
          <w:sz w:val="20"/>
          <w:szCs w:val="20"/>
          <w:highlight w:val="none"/>
          <w:lang w:val="fr-FR"/>
        </w:rPr>
        <w:t>.</w:t>
      </w:r>
    </w:p>
    <w:p w14:paraId="252F3DF4">
      <w:pPr>
        <w:rPr>
          <w:b/>
          <w:bCs w:val="0"/>
          <w:sz w:val="20"/>
          <w:szCs w:val="20"/>
          <w:highlight w:val="yellow"/>
        </w:rPr>
      </w:pPr>
      <w:sdt>
        <w:sdtPr>
          <w:rPr>
            <w:rStyle w:val="15"/>
            <w:b w:val="0"/>
            <w:bCs/>
            <w:sz w:val="20"/>
            <w:szCs w:val="20"/>
          </w:rPr>
          <w:id w:val="1457294357"/>
          <w14:checkbox>
            <w14:checked w14:val="1"/>
            <w14:checkedState w14:val="2612" w14:font="MS Gothic"/>
            <w14:uncheckedState w14:val="2610" w14:font="MS Gothic"/>
          </w14:checkbox>
        </w:sdtPr>
        <w:sdtEndPr>
          <w:rPr>
            <w:rStyle w:val="15"/>
            <w:b/>
            <w:bCs w:val="0"/>
            <w:sz w:val="20"/>
            <w:szCs w:val="20"/>
            <w:highlight w:val="yellow"/>
          </w:rPr>
        </w:sdtEndPr>
        <w:sdtContent>
          <w:r>
            <w:rPr>
              <w:rFonts w:hint="eastAsia" w:ascii="MS Gothic" w:hAnsi="MS Gothic" w:eastAsia="MS Gothic" w:cstheme="minorBidi"/>
              <w:b w:val="0"/>
              <w:bCs/>
              <w:iCs/>
              <w:color w:val="000000" w:themeColor="text1"/>
              <w:sz w:val="20"/>
              <w:szCs w:val="20"/>
              <w:lang w:val="fr-FR" w:eastAsia="en-US" w:bidi="ar-SA"/>
              <w14:textFill>
                <w14:solidFill>
                  <w14:schemeClr w14:val="tx1"/>
                </w14:solidFill>
              </w14:textFill>
            </w:rPr>
            <w:t>☒</w:t>
          </w:r>
        </w:sdtContent>
      </w:sdt>
      <w:r>
        <w:rPr>
          <w:rStyle w:val="15"/>
          <w:b/>
          <w:bCs w:val="0"/>
          <w:sz w:val="20"/>
          <w:szCs w:val="20"/>
          <w:highlight w:val="yellow"/>
        </w:rPr>
        <w:t xml:space="preserve"> Des pri</w:t>
      </w:r>
      <w:r>
        <w:rPr>
          <w:b/>
          <w:bCs w:val="0"/>
          <w:sz w:val="20"/>
          <w:szCs w:val="20"/>
          <w:highlight w:val="yellow"/>
        </w:rPr>
        <w:t>x unitaires </w:t>
      </w:r>
      <w:r>
        <w:rPr>
          <w:rFonts w:hint="default"/>
          <w:b/>
          <w:bCs w:val="0"/>
          <w:sz w:val="20"/>
          <w:szCs w:val="20"/>
          <w:highlight w:val="yellow"/>
          <w:lang w:val="fr-FR"/>
        </w:rPr>
        <w:t>p</w:t>
      </w:r>
      <w:r>
        <w:rPr>
          <w:b/>
          <w:bCs w:val="0"/>
          <w:sz w:val="20"/>
          <w:szCs w:val="20"/>
          <w:highlight w:val="yellow"/>
        </w:rPr>
        <w:t xml:space="preserve">ar </w:t>
      </w:r>
      <w:r>
        <w:rPr>
          <w:rFonts w:hint="default"/>
          <w:b/>
          <w:bCs w:val="0"/>
          <w:sz w:val="20"/>
          <w:szCs w:val="20"/>
          <w:highlight w:val="yellow"/>
          <w:lang w:val="fr-FR"/>
        </w:rPr>
        <w:t>session</w:t>
      </w:r>
      <w:r>
        <w:rPr>
          <w:b/>
          <w:bCs w:val="0"/>
          <w:sz w:val="20"/>
          <w:szCs w:val="20"/>
          <w:highlight w:val="yellow"/>
        </w:rPr>
        <w:t xml:space="preserve"> (intr</w:t>
      </w:r>
      <w:r>
        <w:rPr>
          <w:rFonts w:hint="default"/>
          <w:b/>
          <w:bCs w:val="0"/>
          <w:sz w:val="20"/>
          <w:szCs w:val="20"/>
          <w:highlight w:val="yellow"/>
          <w:lang w:val="fr-FR"/>
        </w:rPr>
        <w:t>a</w:t>
      </w:r>
      <w:r>
        <w:rPr>
          <w:b/>
          <w:bCs w:val="0"/>
          <w:sz w:val="20"/>
          <w:szCs w:val="20"/>
          <w:highlight w:val="yellow"/>
        </w:rPr>
        <w:t>-entreprise)</w:t>
      </w:r>
    </w:p>
    <w:p w14:paraId="7D955ABF">
      <w:pPr>
        <w:rPr>
          <w:sz w:val="20"/>
          <w:szCs w:val="20"/>
        </w:rPr>
      </w:pPr>
      <w:r>
        <w:rPr>
          <w:sz w:val="20"/>
          <w:szCs w:val="20"/>
        </w:rPr>
        <w:t>Le prix est ferme. Il est indiqué dans l’annexe financière.</w:t>
      </w:r>
    </w:p>
    <w:p w14:paraId="25F2D71F">
      <w:pPr>
        <w:pStyle w:val="67"/>
        <w:rPr>
          <w:sz w:val="20"/>
          <w:szCs w:val="20"/>
        </w:rPr>
      </w:pPr>
      <w:r>
        <w:rPr>
          <w:sz w:val="20"/>
          <w:szCs w:val="20"/>
        </w:rPr>
        <w:t>Facturation et paiement</w:t>
      </w:r>
    </w:p>
    <w:p w14:paraId="3A521266">
      <w:pPr>
        <w:pStyle w:val="4"/>
        <w:spacing w:after="120"/>
        <w:rPr>
          <w:sz w:val="20"/>
          <w:szCs w:val="20"/>
        </w:rPr>
      </w:pPr>
      <w:r>
        <w:rPr>
          <w:sz w:val="20"/>
          <w:szCs w:val="20"/>
        </w:rPr>
        <w:t>Émission des factures</w:t>
      </w:r>
    </w:p>
    <w:p w14:paraId="09A47A50">
      <w:pPr>
        <w:rPr>
          <w:sz w:val="20"/>
          <w:szCs w:val="20"/>
        </w:rPr>
      </w:pPr>
      <w:r>
        <w:rPr>
          <w:sz w:val="20"/>
          <w:szCs w:val="20"/>
        </w:rPr>
        <w:t>Le titulaire est rémunéré après constatation du service fait.</w:t>
      </w:r>
    </w:p>
    <w:p w14:paraId="040EF917">
      <w:pPr>
        <w:rPr>
          <w:sz w:val="20"/>
          <w:szCs w:val="20"/>
        </w:rPr>
      </w:pPr>
      <w:r>
        <w:rPr>
          <w:sz w:val="20"/>
          <w:szCs w:val="20"/>
        </w:rPr>
        <w:t>Les factures sont émises à l’issue d’une prestation ou de l’exécution totale d’un bon de commande, et après réception par l’IGN de l’attestation de formation.</w:t>
      </w:r>
    </w:p>
    <w:p w14:paraId="0E3F6AB7">
      <w:pPr>
        <w:rPr>
          <w:sz w:val="20"/>
          <w:szCs w:val="20"/>
        </w:rPr>
      </w:pPr>
      <w:r>
        <w:rPr>
          <w:sz w:val="20"/>
          <w:szCs w:val="20"/>
        </w:rPr>
        <w:t>Les factures portent, outre les mentions légales, les indications suivantes</w:t>
      </w:r>
      <w:r>
        <w:rPr>
          <w:rFonts w:ascii="Calibri" w:hAnsi="Calibri" w:cs="Calibri"/>
          <w:sz w:val="20"/>
          <w:szCs w:val="20"/>
        </w:rPr>
        <w:t> </w:t>
      </w:r>
      <w:r>
        <w:rPr>
          <w:sz w:val="20"/>
          <w:szCs w:val="20"/>
        </w:rPr>
        <w:t>:</w:t>
      </w:r>
    </w:p>
    <w:p w14:paraId="01F4969F">
      <w:pPr>
        <w:pStyle w:val="31"/>
        <w:rPr>
          <w:sz w:val="20"/>
          <w:szCs w:val="20"/>
        </w:rPr>
      </w:pPr>
      <w:r>
        <w:rPr>
          <w:sz w:val="20"/>
          <w:szCs w:val="20"/>
        </w:rPr>
        <w:t>Le numéro SIRET de l’IGN : 180</w:t>
      </w:r>
      <w:r>
        <w:rPr>
          <w:rFonts w:ascii="Calibri" w:hAnsi="Calibri" w:cs="Calibri"/>
          <w:sz w:val="20"/>
          <w:szCs w:val="20"/>
        </w:rPr>
        <w:t> </w:t>
      </w:r>
      <w:r>
        <w:rPr>
          <w:sz w:val="20"/>
          <w:szCs w:val="20"/>
        </w:rPr>
        <w:t>067</w:t>
      </w:r>
      <w:r>
        <w:rPr>
          <w:rFonts w:ascii="Calibri" w:hAnsi="Calibri" w:cs="Calibri"/>
          <w:sz w:val="20"/>
          <w:szCs w:val="20"/>
        </w:rPr>
        <w:t> </w:t>
      </w:r>
      <w:r>
        <w:rPr>
          <w:sz w:val="20"/>
          <w:szCs w:val="20"/>
        </w:rPr>
        <w:t>019 00430</w:t>
      </w:r>
      <w:r>
        <w:rPr>
          <w:rFonts w:ascii="Calibri" w:hAnsi="Calibri" w:cs="Calibri"/>
          <w:sz w:val="20"/>
          <w:szCs w:val="20"/>
        </w:rPr>
        <w:t> </w:t>
      </w:r>
      <w:r>
        <w:rPr>
          <w:sz w:val="20"/>
          <w:szCs w:val="20"/>
        </w:rPr>
        <w:t>;</w:t>
      </w:r>
    </w:p>
    <w:p w14:paraId="2CB3D250">
      <w:pPr>
        <w:pStyle w:val="31"/>
        <w:rPr>
          <w:sz w:val="20"/>
          <w:szCs w:val="20"/>
        </w:rPr>
      </w:pPr>
      <w:r>
        <w:rPr>
          <w:sz w:val="20"/>
          <w:szCs w:val="20"/>
        </w:rPr>
        <w:t>Le cas échéant, le numéro du bon de commande (engagement)</w:t>
      </w:r>
      <w:r>
        <w:rPr>
          <w:rFonts w:ascii="Calibri" w:hAnsi="Calibri" w:cs="Calibri"/>
          <w:sz w:val="20"/>
          <w:szCs w:val="20"/>
        </w:rPr>
        <w:t> </w:t>
      </w:r>
      <w:r>
        <w:rPr>
          <w:sz w:val="20"/>
          <w:szCs w:val="20"/>
        </w:rPr>
        <w:t>;</w:t>
      </w:r>
    </w:p>
    <w:p w14:paraId="60A81DA0">
      <w:pPr>
        <w:pStyle w:val="31"/>
        <w:rPr>
          <w:sz w:val="20"/>
          <w:szCs w:val="20"/>
        </w:rPr>
      </w:pPr>
      <w:r>
        <w:rPr>
          <w:sz w:val="20"/>
          <w:szCs w:val="20"/>
        </w:rPr>
        <w:t>La référence du service prescripteur de l’IGN</w:t>
      </w:r>
      <w:r>
        <w:rPr>
          <w:rFonts w:ascii="Calibri" w:hAnsi="Calibri" w:cs="Calibri"/>
          <w:sz w:val="20"/>
          <w:szCs w:val="20"/>
        </w:rPr>
        <w:t> </w:t>
      </w:r>
      <w:r>
        <w:rPr>
          <w:sz w:val="20"/>
          <w:szCs w:val="20"/>
        </w:rPr>
        <w:t>: Département GPEEC Formation ;</w:t>
      </w:r>
    </w:p>
    <w:p w14:paraId="2092279B">
      <w:pPr>
        <w:pStyle w:val="31"/>
        <w:rPr>
          <w:sz w:val="20"/>
          <w:szCs w:val="20"/>
        </w:rPr>
      </w:pPr>
      <w:r>
        <w:rPr>
          <w:sz w:val="20"/>
          <w:szCs w:val="20"/>
        </w:rPr>
        <w:t>La date d'émission de la facture</w:t>
      </w:r>
      <w:r>
        <w:rPr>
          <w:rFonts w:ascii="Calibri" w:hAnsi="Calibri" w:cs="Calibri"/>
          <w:sz w:val="20"/>
          <w:szCs w:val="20"/>
        </w:rPr>
        <w:t> </w:t>
      </w:r>
      <w:r>
        <w:rPr>
          <w:sz w:val="20"/>
          <w:szCs w:val="20"/>
        </w:rPr>
        <w:t>;</w:t>
      </w:r>
    </w:p>
    <w:p w14:paraId="4F14D46F">
      <w:pPr>
        <w:pStyle w:val="31"/>
        <w:rPr>
          <w:sz w:val="20"/>
          <w:szCs w:val="20"/>
        </w:rPr>
      </w:pPr>
      <w:r>
        <w:rPr>
          <w:sz w:val="20"/>
          <w:szCs w:val="20"/>
        </w:rPr>
        <w:t>Les coordonnées bancaires du titulaire</w:t>
      </w:r>
      <w:r>
        <w:rPr>
          <w:rFonts w:ascii="Calibri" w:hAnsi="Calibri" w:cs="Calibri"/>
          <w:sz w:val="20"/>
          <w:szCs w:val="20"/>
        </w:rPr>
        <w:t> </w:t>
      </w:r>
      <w:r>
        <w:rPr>
          <w:sz w:val="20"/>
          <w:szCs w:val="20"/>
        </w:rPr>
        <w:t>;</w:t>
      </w:r>
    </w:p>
    <w:p w14:paraId="6B6C53E2">
      <w:pPr>
        <w:pStyle w:val="31"/>
        <w:rPr>
          <w:sz w:val="20"/>
          <w:szCs w:val="20"/>
        </w:rPr>
      </w:pPr>
      <w:r>
        <w:rPr>
          <w:sz w:val="20"/>
          <w:szCs w:val="20"/>
        </w:rPr>
        <w:t>Le détail des prestations exécutées</w:t>
      </w:r>
      <w:r>
        <w:rPr>
          <w:rFonts w:ascii="Calibri" w:hAnsi="Calibri" w:cs="Calibri"/>
          <w:sz w:val="20"/>
          <w:szCs w:val="20"/>
        </w:rPr>
        <w:t> </w:t>
      </w:r>
      <w:r>
        <w:rPr>
          <w:sz w:val="20"/>
          <w:szCs w:val="20"/>
        </w:rPr>
        <w:t>;</w:t>
      </w:r>
    </w:p>
    <w:p w14:paraId="7EB82D36">
      <w:pPr>
        <w:pStyle w:val="31"/>
        <w:rPr>
          <w:sz w:val="20"/>
          <w:szCs w:val="20"/>
        </w:rPr>
      </w:pPr>
      <w:r>
        <w:rPr>
          <w:sz w:val="20"/>
          <w:szCs w:val="20"/>
        </w:rPr>
        <w:t>Le montant hors taxes</w:t>
      </w:r>
      <w:r>
        <w:rPr>
          <w:rFonts w:ascii="Calibri" w:hAnsi="Calibri" w:cs="Calibri"/>
          <w:sz w:val="20"/>
          <w:szCs w:val="20"/>
        </w:rPr>
        <w:t> </w:t>
      </w:r>
      <w:r>
        <w:rPr>
          <w:sz w:val="20"/>
          <w:szCs w:val="20"/>
        </w:rPr>
        <w:t>;</w:t>
      </w:r>
    </w:p>
    <w:p w14:paraId="1CBF7B77">
      <w:pPr>
        <w:pStyle w:val="31"/>
        <w:rPr>
          <w:sz w:val="20"/>
          <w:szCs w:val="20"/>
        </w:rPr>
      </w:pPr>
      <w:r>
        <w:rPr>
          <w:sz w:val="20"/>
          <w:szCs w:val="20"/>
        </w:rPr>
        <w:t>Le montant et le taux de la TVA</w:t>
      </w:r>
      <w:r>
        <w:rPr>
          <w:rFonts w:ascii="Calibri" w:hAnsi="Calibri" w:cs="Calibri"/>
          <w:sz w:val="20"/>
          <w:szCs w:val="20"/>
        </w:rPr>
        <w:t> </w:t>
      </w:r>
      <w:r>
        <w:rPr>
          <w:sz w:val="20"/>
          <w:szCs w:val="20"/>
        </w:rPr>
        <w:t>;</w:t>
      </w:r>
    </w:p>
    <w:p w14:paraId="1B0848B1">
      <w:pPr>
        <w:pStyle w:val="31"/>
        <w:rPr>
          <w:sz w:val="20"/>
          <w:szCs w:val="20"/>
        </w:rPr>
      </w:pPr>
      <w:r>
        <w:rPr>
          <w:sz w:val="20"/>
          <w:szCs w:val="20"/>
        </w:rPr>
        <w:t>Le montant total toutes taxes comprises</w:t>
      </w:r>
      <w:r>
        <w:rPr>
          <w:rFonts w:ascii="Calibri" w:hAnsi="Calibri" w:cs="Calibri"/>
          <w:sz w:val="20"/>
          <w:szCs w:val="20"/>
        </w:rPr>
        <w:t> </w:t>
      </w:r>
      <w:r>
        <w:rPr>
          <w:sz w:val="20"/>
          <w:szCs w:val="20"/>
        </w:rPr>
        <w:t>;</w:t>
      </w:r>
    </w:p>
    <w:p w14:paraId="72CE5B42">
      <w:pPr>
        <w:pStyle w:val="31"/>
        <w:rPr>
          <w:sz w:val="20"/>
          <w:szCs w:val="20"/>
        </w:rPr>
      </w:pPr>
      <w:r>
        <w:rPr>
          <w:sz w:val="20"/>
          <w:szCs w:val="20"/>
        </w:rPr>
        <w:t>Le numéro de TVA intracommunautaire du titulaire.</w:t>
      </w:r>
    </w:p>
    <w:p w14:paraId="6134C157">
      <w:pPr>
        <w:pStyle w:val="4"/>
        <w:spacing w:after="120"/>
        <w:rPr>
          <w:sz w:val="20"/>
          <w:szCs w:val="20"/>
        </w:rPr>
      </w:pPr>
      <w:r>
        <w:rPr>
          <w:sz w:val="20"/>
          <w:szCs w:val="20"/>
        </w:rPr>
        <w:t>Dépôt de la facture sur Chorus Pro</w:t>
      </w:r>
    </w:p>
    <w:p w14:paraId="103F5A28">
      <w:pPr>
        <w:rPr>
          <w:sz w:val="20"/>
          <w:szCs w:val="20"/>
        </w:rPr>
      </w:pPr>
      <w:r>
        <w:rPr>
          <w:sz w:val="20"/>
          <w:szCs w:val="20"/>
        </w:rPr>
        <w:t>Les factures doivent être déposées sur le portail Chorus Pro.</w:t>
      </w:r>
    </w:p>
    <w:p w14:paraId="02A0AAAC">
      <w:pPr>
        <w:rPr>
          <w:sz w:val="20"/>
          <w:szCs w:val="20"/>
        </w:rPr>
      </w:pPr>
      <w:r>
        <w:rPr>
          <w:sz w:val="20"/>
          <w:szCs w:val="20"/>
        </w:rPr>
        <w:t>Une documentation relative au fonctionnement de la plateforme Chorus Pro est consultable à l’adresse suivante :</w:t>
      </w:r>
    </w:p>
    <w:p w14:paraId="68C03930">
      <w:pPr>
        <w:rPr>
          <w:sz w:val="20"/>
          <w:szCs w:val="20"/>
        </w:rPr>
      </w:pPr>
      <w:r>
        <w:fldChar w:fldCharType="begin"/>
      </w:r>
      <w:r>
        <w:instrText xml:space="preserve"> HYPERLINK "https://communaute.chorus-pro.gouv.fr/emetteur-de-factures-electroniques/" </w:instrText>
      </w:r>
      <w:r>
        <w:fldChar w:fldCharType="separate"/>
      </w:r>
      <w:r>
        <w:rPr>
          <w:rStyle w:val="12"/>
          <w:sz w:val="20"/>
          <w:szCs w:val="20"/>
        </w:rPr>
        <w:t>https://communaute.chorus-pro.gouv.fr/emetteur-de-factures-electroniques/</w:t>
      </w:r>
      <w:r>
        <w:rPr>
          <w:rStyle w:val="12"/>
          <w:sz w:val="20"/>
          <w:szCs w:val="20"/>
        </w:rPr>
        <w:fldChar w:fldCharType="end"/>
      </w:r>
    </w:p>
    <w:p w14:paraId="1EB53D57">
      <w:pPr>
        <w:rPr>
          <w:sz w:val="20"/>
          <w:szCs w:val="20"/>
        </w:rPr>
      </w:pPr>
      <w:r>
        <w:rPr>
          <w:sz w:val="20"/>
          <w:szCs w:val="20"/>
        </w:rPr>
        <w:t>Il est précisé que l’IGN n’utilise pas de n° service exécutant dans Chorus Pro.</w:t>
      </w:r>
    </w:p>
    <w:p w14:paraId="4B8CF285">
      <w:pPr>
        <w:pStyle w:val="67"/>
        <w:rPr>
          <w:sz w:val="20"/>
          <w:szCs w:val="20"/>
        </w:rPr>
      </w:pPr>
      <w:r>
        <w:rPr>
          <w:sz w:val="20"/>
          <w:szCs w:val="20"/>
        </w:rPr>
        <w:t>Toute question relative à la facturation ou au paiement doit être adressée au service facturier de l’Agence comptable de l’IGN</w:t>
      </w:r>
      <w:r>
        <w:rPr>
          <w:rFonts w:ascii="Calibri" w:hAnsi="Calibri" w:cs="Calibri"/>
          <w:sz w:val="20"/>
          <w:szCs w:val="20"/>
        </w:rPr>
        <w:t> </w:t>
      </w:r>
      <w:r>
        <w:rPr>
          <w:sz w:val="20"/>
          <w:szCs w:val="20"/>
        </w:rPr>
        <w:t>:</w:t>
      </w:r>
    </w:p>
    <w:p w14:paraId="4C94C29A">
      <w:pPr>
        <w:pStyle w:val="31"/>
        <w:rPr>
          <w:sz w:val="20"/>
          <w:szCs w:val="20"/>
        </w:rPr>
      </w:pPr>
      <w:r>
        <w:rPr>
          <w:sz w:val="20"/>
          <w:szCs w:val="20"/>
        </w:rPr>
        <w:t>Tél.</w:t>
      </w:r>
      <w:r>
        <w:rPr>
          <w:rFonts w:ascii="Calibri" w:hAnsi="Calibri" w:cs="Calibri"/>
          <w:sz w:val="20"/>
          <w:szCs w:val="20"/>
        </w:rPr>
        <w:t> </w:t>
      </w:r>
      <w:r>
        <w:rPr>
          <w:sz w:val="20"/>
          <w:szCs w:val="20"/>
        </w:rPr>
        <w:t>: 01 43 98 83 11</w:t>
      </w:r>
    </w:p>
    <w:p w14:paraId="5B363F23">
      <w:pPr>
        <w:pStyle w:val="31"/>
        <w:rPr>
          <w:sz w:val="20"/>
          <w:szCs w:val="20"/>
        </w:rPr>
      </w:pPr>
      <w:r>
        <w:rPr>
          <w:sz w:val="20"/>
          <w:szCs w:val="20"/>
        </w:rPr>
        <w:t xml:space="preserve">Courriel : </w:t>
      </w:r>
      <w:r>
        <w:fldChar w:fldCharType="begin"/>
      </w:r>
      <w:r>
        <w:instrText xml:space="preserve"> HYPERLINK "mailto:service.facturier@ign.fr" </w:instrText>
      </w:r>
      <w:r>
        <w:fldChar w:fldCharType="separate"/>
      </w:r>
      <w:r>
        <w:rPr>
          <w:rStyle w:val="12"/>
          <w:sz w:val="20"/>
          <w:szCs w:val="20"/>
        </w:rPr>
        <w:t>service.facturier@ign.fr</w:t>
      </w:r>
      <w:r>
        <w:rPr>
          <w:rStyle w:val="12"/>
          <w:sz w:val="20"/>
          <w:szCs w:val="20"/>
        </w:rPr>
        <w:fldChar w:fldCharType="end"/>
      </w:r>
    </w:p>
    <w:p w14:paraId="3F1BE0F3">
      <w:pPr>
        <w:pStyle w:val="4"/>
        <w:spacing w:after="120"/>
        <w:rPr>
          <w:sz w:val="20"/>
          <w:szCs w:val="20"/>
        </w:rPr>
      </w:pPr>
      <w:r>
        <w:rPr>
          <w:sz w:val="20"/>
          <w:szCs w:val="20"/>
        </w:rPr>
        <w:t>Modalités de paiement</w:t>
      </w:r>
    </w:p>
    <w:p w14:paraId="2B91AD42">
      <w:pPr>
        <w:rPr>
          <w:sz w:val="20"/>
          <w:szCs w:val="20"/>
        </w:rPr>
      </w:pPr>
      <w:r>
        <w:rPr>
          <w:sz w:val="20"/>
          <w:szCs w:val="20"/>
        </w:rPr>
        <w:t>Les paiements s’effectuent par virement administratif dans un délai global maximal de trente jours à compter de la date de réception de la demande de paiement par le pouvoir adjudicateur.</w:t>
      </w:r>
    </w:p>
    <w:p w14:paraId="0EB094CC">
      <w:pPr>
        <w:rPr>
          <w:sz w:val="20"/>
          <w:szCs w:val="20"/>
        </w:rPr>
      </w:pPr>
      <w:r>
        <w:rPr>
          <w:sz w:val="20"/>
          <w:szCs w:val="20"/>
        </w:rPr>
        <w:t xml:space="preserve">Le défaut de paiement dans le délai prévu ci-dessus fait courir de plein droit des intérêts moratoires au bénéfice du titulaire. </w:t>
      </w:r>
    </w:p>
    <w:p w14:paraId="21FA3E70">
      <w:pPr>
        <w:rPr>
          <w:sz w:val="20"/>
          <w:szCs w:val="20"/>
        </w:rPr>
      </w:pPr>
      <w:r>
        <w:rPr>
          <w:sz w:val="20"/>
          <w:szCs w:val="20"/>
        </w:rP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6C259E5F">
      <w:pPr>
        <w:rPr>
          <w:sz w:val="20"/>
          <w:szCs w:val="20"/>
        </w:rPr>
      </w:pPr>
      <w:r>
        <w:rPr>
          <w:sz w:val="20"/>
          <w:szCs w:val="20"/>
        </w:rPr>
        <w:t>Le montant de l'indemnité forfaitaire pour frais de recouvrement est fixé à 40</w:t>
      </w:r>
      <w:r>
        <w:rPr>
          <w:rFonts w:ascii="Calibri" w:hAnsi="Calibri" w:cs="Calibri"/>
          <w:sz w:val="20"/>
          <w:szCs w:val="20"/>
        </w:rPr>
        <w:t> </w:t>
      </w:r>
      <w:r>
        <w:rPr>
          <w:sz w:val="20"/>
          <w:szCs w:val="20"/>
        </w:rPr>
        <w:t>euros.</w:t>
      </w:r>
    </w:p>
    <w:p w14:paraId="02BA6FD8">
      <w:pPr>
        <w:pStyle w:val="3"/>
        <w:ind w:left="796" w:leftChars="0" w:firstLineChars="0"/>
        <w:rPr>
          <w:sz w:val="20"/>
          <w:szCs w:val="20"/>
        </w:rPr>
      </w:pPr>
      <w:bookmarkStart w:id="8" w:name="_Toc180141402"/>
      <w:bookmarkStart w:id="9" w:name="_Toc179907237"/>
      <w:bookmarkStart w:id="10" w:name="_Toc179907579"/>
      <w:bookmarkStart w:id="11" w:name="_Toc179907283"/>
      <w:bookmarkStart w:id="12" w:name="_Hlk180492133"/>
      <w:r>
        <w:rPr>
          <w:sz w:val="20"/>
          <w:szCs w:val="20"/>
        </w:rPr>
        <w:t>Loi applicable – Tribunal compétent</w:t>
      </w:r>
      <w:bookmarkEnd w:id="8"/>
      <w:bookmarkEnd w:id="9"/>
      <w:bookmarkEnd w:id="10"/>
      <w:bookmarkEnd w:id="11"/>
    </w:p>
    <w:p w14:paraId="45616ED6">
      <w:pPr>
        <w:tabs>
          <w:tab w:val="left" w:pos="5706"/>
        </w:tabs>
        <w:rPr>
          <w:sz w:val="20"/>
          <w:szCs w:val="20"/>
        </w:rPr>
      </w:pPr>
      <w:r>
        <w:rPr>
          <w:sz w:val="20"/>
          <w:szCs w:val="20"/>
        </w:rPr>
        <w:t>La loi française est seule applicable au présent marché.</w:t>
      </w:r>
    </w:p>
    <w:p w14:paraId="45E5D884">
      <w:pPr>
        <w:pStyle w:val="67"/>
        <w:rPr>
          <w:sz w:val="20"/>
          <w:szCs w:val="20"/>
        </w:rPr>
      </w:pPr>
      <w:r>
        <w:rPr>
          <w:sz w:val="20"/>
          <w:szCs w:val="20"/>
        </w:rPr>
        <w:t>En cas de litige, le tribunal compétent est le suivant</w:t>
      </w:r>
      <w:r>
        <w:rPr>
          <w:rFonts w:ascii="Calibri" w:hAnsi="Calibri" w:cs="Calibri"/>
          <w:sz w:val="20"/>
          <w:szCs w:val="20"/>
        </w:rPr>
        <w:t> </w:t>
      </w:r>
      <w:r>
        <w:rPr>
          <w:sz w:val="20"/>
          <w:szCs w:val="20"/>
        </w:rPr>
        <w:t>:</w:t>
      </w:r>
    </w:p>
    <w:p w14:paraId="1DB02974">
      <w:pPr>
        <w:pBdr>
          <w:top w:val="single" w:color="auto" w:sz="4" w:space="1"/>
          <w:left w:val="single" w:color="auto" w:sz="4" w:space="4"/>
          <w:bottom w:val="single" w:color="auto" w:sz="4" w:space="1"/>
          <w:right w:val="single" w:color="auto" w:sz="4" w:space="4"/>
        </w:pBdr>
        <w:tabs>
          <w:tab w:val="left" w:pos="5706"/>
        </w:tabs>
        <w:jc w:val="center"/>
        <w:rPr>
          <w:rStyle w:val="15"/>
          <w:sz w:val="20"/>
          <w:szCs w:val="20"/>
        </w:rPr>
      </w:pPr>
      <w:r>
        <w:rPr>
          <w:rStyle w:val="15"/>
          <w:sz w:val="20"/>
          <w:szCs w:val="20"/>
        </w:rPr>
        <w:t>TRIBUNAL ADMINISTRATIF DE PARIS</w:t>
      </w:r>
    </w:p>
    <w:p w14:paraId="0A331764">
      <w:pPr>
        <w:pBdr>
          <w:top w:val="single" w:color="auto" w:sz="4" w:space="1"/>
          <w:left w:val="single" w:color="auto" w:sz="4" w:space="4"/>
          <w:bottom w:val="single" w:color="auto" w:sz="4" w:space="1"/>
          <w:right w:val="single" w:color="auto" w:sz="4" w:space="4"/>
        </w:pBdr>
        <w:tabs>
          <w:tab w:val="left" w:pos="5706"/>
        </w:tabs>
        <w:contextualSpacing/>
        <w:jc w:val="center"/>
        <w:rPr>
          <w:sz w:val="20"/>
          <w:szCs w:val="20"/>
        </w:rPr>
      </w:pPr>
      <w:r>
        <w:rPr>
          <w:sz w:val="20"/>
          <w:szCs w:val="20"/>
        </w:rPr>
        <w:t>7, rue de Jouy</w:t>
      </w:r>
    </w:p>
    <w:p w14:paraId="65151F68">
      <w:pPr>
        <w:pBdr>
          <w:top w:val="single" w:color="auto" w:sz="4" w:space="1"/>
          <w:left w:val="single" w:color="auto" w:sz="4" w:space="4"/>
          <w:bottom w:val="single" w:color="auto" w:sz="4" w:space="1"/>
          <w:right w:val="single" w:color="auto" w:sz="4" w:space="4"/>
        </w:pBdr>
        <w:tabs>
          <w:tab w:val="left" w:pos="5706"/>
        </w:tabs>
        <w:contextualSpacing/>
        <w:jc w:val="center"/>
        <w:rPr>
          <w:sz w:val="20"/>
          <w:szCs w:val="20"/>
        </w:rPr>
      </w:pPr>
      <w:r>
        <w:rPr>
          <w:sz w:val="20"/>
          <w:szCs w:val="20"/>
        </w:rPr>
        <w:t>75181 PARIS CEDEX 04</w:t>
      </w:r>
    </w:p>
    <w:p w14:paraId="7662CEF1">
      <w:pPr>
        <w:pBdr>
          <w:top w:val="single" w:color="auto" w:sz="4" w:space="1"/>
          <w:left w:val="single" w:color="auto" w:sz="4" w:space="4"/>
          <w:bottom w:val="single" w:color="auto" w:sz="4" w:space="1"/>
          <w:right w:val="single" w:color="auto" w:sz="4" w:space="4"/>
        </w:pBdr>
        <w:tabs>
          <w:tab w:val="left" w:pos="5706"/>
        </w:tabs>
        <w:contextualSpacing/>
        <w:jc w:val="center"/>
        <w:rPr>
          <w:sz w:val="20"/>
          <w:szCs w:val="20"/>
        </w:rPr>
      </w:pPr>
      <w:r>
        <w:rPr>
          <w:sz w:val="20"/>
          <w:szCs w:val="20"/>
        </w:rPr>
        <w:t>Téléphone : 01 44 59 44 00</w:t>
      </w:r>
    </w:p>
    <w:p w14:paraId="47A9DE8C">
      <w:pPr>
        <w:pBdr>
          <w:top w:val="single" w:color="auto" w:sz="4" w:space="1"/>
          <w:left w:val="single" w:color="auto" w:sz="4" w:space="4"/>
          <w:bottom w:val="single" w:color="auto" w:sz="4" w:space="1"/>
          <w:right w:val="single" w:color="auto" w:sz="4" w:space="4"/>
        </w:pBdr>
        <w:tabs>
          <w:tab w:val="left" w:pos="5706"/>
        </w:tabs>
        <w:jc w:val="center"/>
        <w:rPr>
          <w:sz w:val="20"/>
          <w:szCs w:val="20"/>
        </w:rPr>
      </w:pPr>
      <w:r>
        <w:rPr>
          <w:sz w:val="20"/>
          <w:szCs w:val="20"/>
        </w:rPr>
        <w:t xml:space="preserve">Courriel : </w:t>
      </w:r>
      <w:r>
        <w:fldChar w:fldCharType="begin"/>
      </w:r>
      <w:r>
        <w:instrText xml:space="preserve"> HYPERLINK "mailto:greffe.ta-paris@juradm.fr" </w:instrText>
      </w:r>
      <w:r>
        <w:fldChar w:fldCharType="separate"/>
      </w:r>
      <w:r>
        <w:rPr>
          <w:rStyle w:val="12"/>
          <w:sz w:val="20"/>
          <w:szCs w:val="20"/>
        </w:rPr>
        <w:t>greffe.ta-paris@juradm.fr</w:t>
      </w:r>
      <w:r>
        <w:rPr>
          <w:rStyle w:val="12"/>
          <w:sz w:val="20"/>
          <w:szCs w:val="20"/>
        </w:rPr>
        <w:fldChar w:fldCharType="end"/>
      </w:r>
    </w:p>
    <w:p w14:paraId="5ACB8962">
      <w:pPr>
        <w:pBdr>
          <w:top w:val="single" w:color="auto" w:sz="4" w:space="1"/>
          <w:left w:val="single" w:color="auto" w:sz="4" w:space="4"/>
          <w:bottom w:val="single" w:color="auto" w:sz="4" w:space="1"/>
          <w:right w:val="single" w:color="auto" w:sz="4" w:space="4"/>
        </w:pBdr>
        <w:tabs>
          <w:tab w:val="left" w:pos="5706"/>
        </w:tabs>
        <w:jc w:val="center"/>
        <w:rPr>
          <w:sz w:val="20"/>
          <w:szCs w:val="20"/>
        </w:rPr>
      </w:pPr>
      <w:r>
        <w:rPr>
          <w:sz w:val="20"/>
          <w:szCs w:val="20"/>
        </w:rPr>
        <w:t xml:space="preserve">Site internet : </w:t>
      </w:r>
      <w:r>
        <w:fldChar w:fldCharType="begin"/>
      </w:r>
      <w:r>
        <w:instrText xml:space="preserve"> HYPERLINK "https://paris.tribunal-administratif.fr/" </w:instrText>
      </w:r>
      <w:r>
        <w:fldChar w:fldCharType="separate"/>
      </w:r>
      <w:r>
        <w:rPr>
          <w:rStyle w:val="12"/>
          <w:sz w:val="20"/>
          <w:szCs w:val="20"/>
        </w:rPr>
        <w:t>https://paris.tribunal-administratif.fr/</w:t>
      </w:r>
      <w:r>
        <w:rPr>
          <w:rStyle w:val="12"/>
          <w:sz w:val="20"/>
          <w:szCs w:val="20"/>
        </w:rPr>
        <w:fldChar w:fldCharType="end"/>
      </w:r>
      <w:bookmarkEnd w:id="12"/>
    </w:p>
    <w:p w14:paraId="0AECA584">
      <w:pPr>
        <w:rPr>
          <w:sz w:val="20"/>
          <w:szCs w:val="20"/>
        </w:rPr>
      </w:pPr>
    </w:p>
    <w:p w14:paraId="685A9A40">
      <w:pPr>
        <w:spacing w:before="0" w:after="200" w:line="276" w:lineRule="auto"/>
        <w:jc w:val="left"/>
        <w:rPr>
          <w:rFonts w:eastAsiaTheme="majorEastAsia" w:cstheme="majorHAnsi"/>
          <w:b/>
          <w:bCs/>
          <w:sz w:val="20"/>
          <w:szCs w:val="20"/>
        </w:rPr>
      </w:pPr>
      <w:r>
        <w:rPr>
          <w:sz w:val="20"/>
          <w:szCs w:val="20"/>
        </w:rPr>
        <w:br w:type="page"/>
      </w:r>
    </w:p>
    <w:p w14:paraId="7DDDA774">
      <w:pPr>
        <w:pStyle w:val="2"/>
        <w:rPr>
          <w:sz w:val="20"/>
          <w:szCs w:val="20"/>
        </w:rPr>
      </w:pPr>
      <w:r>
        <w:rPr>
          <w:sz w:val="20"/>
          <w:szCs w:val="20"/>
        </w:rPr>
        <w:t>SIGNATURES</w:t>
      </w:r>
    </w:p>
    <w:p w14:paraId="7CB161CF">
      <w:pPr>
        <w:pStyle w:val="3"/>
        <w:ind w:left="796" w:leftChars="0" w:firstLineChars="0"/>
        <w:rPr>
          <w:sz w:val="20"/>
          <w:szCs w:val="20"/>
        </w:rPr>
      </w:pPr>
      <w:r>
        <w:rPr>
          <w:sz w:val="20"/>
          <w:szCs w:val="20"/>
        </w:rPr>
        <w:t>Signature du titulaire</w:t>
      </w:r>
    </w:p>
    <w:tbl>
      <w:tblPr>
        <w:tblStyle w:val="35"/>
        <w:tblW w:w="5000" w:type="pct"/>
        <w:tblInd w:w="0" w:type="dxa"/>
        <w:tblLayout w:type="autofit"/>
        <w:tblCellMar>
          <w:top w:w="0" w:type="dxa"/>
          <w:left w:w="108" w:type="dxa"/>
          <w:bottom w:w="0" w:type="dxa"/>
          <w:right w:w="108" w:type="dxa"/>
        </w:tblCellMar>
      </w:tblPr>
      <w:tblGrid>
        <w:gridCol w:w="3096"/>
        <w:gridCol w:w="3096"/>
        <w:gridCol w:w="3094"/>
      </w:tblGrid>
      <w:tr w14:paraId="326C719D">
        <w:tblPrEx>
          <w:tblCellMar>
            <w:top w:w="0" w:type="dxa"/>
            <w:left w:w="108" w:type="dxa"/>
            <w:bottom w:w="0" w:type="dxa"/>
            <w:right w:w="108" w:type="dxa"/>
          </w:tblCellMar>
        </w:tblPrEx>
        <w:tc>
          <w:tcPr>
            <w:tcW w:w="1667" w:type="pct"/>
            <w:tcBorders>
              <w:top w:val="single" w:color="000000" w:sz="4" w:space="0"/>
              <w:left w:val="single" w:color="000000" w:sz="4" w:space="0"/>
              <w:bottom w:val="single" w:color="auto" w:sz="12" w:space="0"/>
            </w:tcBorders>
            <w:shd w:val="clear" w:color="auto" w:fill="C2E0EB" w:themeFill="accent5" w:themeFillTint="66"/>
            <w:vAlign w:val="center"/>
          </w:tcPr>
          <w:p w14:paraId="541F12D3">
            <w:pPr>
              <w:pStyle w:val="40"/>
            </w:pPr>
            <w:r>
              <w:t>Nom, prénom et qualité du signataire (*)</w:t>
            </w:r>
          </w:p>
        </w:tc>
        <w:tc>
          <w:tcPr>
            <w:tcW w:w="1667" w:type="pct"/>
            <w:tcBorders>
              <w:top w:val="single" w:color="000000" w:sz="4" w:space="0"/>
              <w:left w:val="single" w:color="000000" w:sz="4" w:space="0"/>
              <w:bottom w:val="single" w:color="auto" w:sz="12" w:space="0"/>
            </w:tcBorders>
            <w:shd w:val="clear" w:color="auto" w:fill="C2E0EB" w:themeFill="accent5" w:themeFillTint="66"/>
            <w:vAlign w:val="center"/>
          </w:tcPr>
          <w:p w14:paraId="47221B4B">
            <w:pPr>
              <w:pStyle w:val="40"/>
            </w:pPr>
            <w:r>
              <w:t>Lieu et date de signature</w:t>
            </w:r>
          </w:p>
        </w:tc>
        <w:tc>
          <w:tcPr>
            <w:tcW w:w="1666" w:type="pct"/>
            <w:tcBorders>
              <w:top w:val="single" w:color="000000" w:sz="4" w:space="0"/>
              <w:left w:val="single" w:color="000000" w:sz="4" w:space="0"/>
              <w:bottom w:val="single" w:color="auto" w:sz="12" w:space="0"/>
              <w:right w:val="single" w:color="000000" w:sz="4" w:space="0"/>
            </w:tcBorders>
            <w:shd w:val="clear" w:color="auto" w:fill="C2E0EB" w:themeFill="accent5" w:themeFillTint="66"/>
            <w:vAlign w:val="center"/>
          </w:tcPr>
          <w:p w14:paraId="027DE2A4">
            <w:pPr>
              <w:pStyle w:val="40"/>
            </w:pPr>
            <w:r>
              <w:t>Signature</w:t>
            </w:r>
          </w:p>
        </w:tc>
      </w:tr>
      <w:tr w14:paraId="55E7161C">
        <w:tblPrEx>
          <w:tblCellMar>
            <w:top w:w="0" w:type="dxa"/>
            <w:left w:w="108" w:type="dxa"/>
            <w:bottom w:w="0" w:type="dxa"/>
            <w:right w:w="108" w:type="dxa"/>
          </w:tblCellMar>
        </w:tblPrEx>
        <w:trPr>
          <w:trHeight w:val="1021" w:hRule="atLeast"/>
        </w:trPr>
        <w:tc>
          <w:tcPr>
            <w:tcW w:w="1667" w:type="pct"/>
            <w:tcBorders>
              <w:top w:val="single" w:color="auto" w:sz="12" w:space="0"/>
              <w:left w:val="single" w:color="000000" w:sz="4" w:space="0"/>
              <w:bottom w:val="single" w:color="auto" w:sz="4" w:space="0"/>
            </w:tcBorders>
            <w:shd w:val="clear" w:color="auto" w:fill="auto"/>
          </w:tcPr>
          <w:p w14:paraId="3BF1D480">
            <w:pPr>
              <w:tabs>
                <w:tab w:val="left" w:pos="851"/>
              </w:tabs>
              <w:snapToGrid w:val="0"/>
              <w:rPr>
                <w:rFonts w:cs="Arial"/>
                <w:b/>
                <w:bCs/>
                <w:sz w:val="20"/>
                <w:szCs w:val="20"/>
              </w:rPr>
            </w:pPr>
          </w:p>
          <w:p w14:paraId="7A08DD0A">
            <w:pPr>
              <w:tabs>
                <w:tab w:val="left" w:pos="851"/>
              </w:tabs>
              <w:snapToGrid w:val="0"/>
              <w:rPr>
                <w:rFonts w:cs="Arial"/>
                <w:b/>
                <w:bCs/>
                <w:sz w:val="20"/>
                <w:szCs w:val="20"/>
              </w:rPr>
            </w:pPr>
          </w:p>
          <w:p w14:paraId="51B4F62A">
            <w:pPr>
              <w:tabs>
                <w:tab w:val="left" w:pos="851"/>
              </w:tabs>
              <w:snapToGrid w:val="0"/>
              <w:rPr>
                <w:rFonts w:cs="Arial"/>
                <w:b/>
                <w:bCs/>
                <w:sz w:val="20"/>
                <w:szCs w:val="20"/>
              </w:rPr>
            </w:pPr>
          </w:p>
          <w:p w14:paraId="054F6B2F">
            <w:pPr>
              <w:tabs>
                <w:tab w:val="left" w:pos="851"/>
              </w:tabs>
              <w:snapToGrid w:val="0"/>
              <w:rPr>
                <w:rFonts w:cs="Arial"/>
                <w:b/>
                <w:bCs/>
                <w:sz w:val="20"/>
                <w:szCs w:val="20"/>
              </w:rPr>
            </w:pPr>
          </w:p>
        </w:tc>
        <w:tc>
          <w:tcPr>
            <w:tcW w:w="1667" w:type="pct"/>
            <w:tcBorders>
              <w:top w:val="single" w:color="auto" w:sz="12" w:space="0"/>
              <w:left w:val="single" w:color="000000" w:sz="4" w:space="0"/>
              <w:bottom w:val="single" w:color="auto" w:sz="4" w:space="0"/>
            </w:tcBorders>
            <w:shd w:val="clear" w:color="auto" w:fill="auto"/>
          </w:tcPr>
          <w:p w14:paraId="52CF97B4">
            <w:pPr>
              <w:tabs>
                <w:tab w:val="left" w:pos="851"/>
              </w:tabs>
              <w:snapToGrid w:val="0"/>
              <w:rPr>
                <w:rFonts w:cs="Arial"/>
                <w:b/>
                <w:bCs/>
                <w:sz w:val="20"/>
                <w:szCs w:val="20"/>
              </w:rPr>
            </w:pPr>
          </w:p>
        </w:tc>
        <w:tc>
          <w:tcPr>
            <w:tcW w:w="1666" w:type="pct"/>
            <w:tcBorders>
              <w:top w:val="single" w:color="auto" w:sz="12" w:space="0"/>
              <w:left w:val="single" w:color="000000" w:sz="4" w:space="0"/>
              <w:bottom w:val="single" w:color="auto" w:sz="4" w:space="0"/>
              <w:right w:val="single" w:color="000000" w:sz="4" w:space="0"/>
            </w:tcBorders>
            <w:shd w:val="clear" w:color="auto" w:fill="auto"/>
          </w:tcPr>
          <w:p w14:paraId="1095D837">
            <w:pPr>
              <w:tabs>
                <w:tab w:val="left" w:pos="851"/>
              </w:tabs>
              <w:snapToGrid w:val="0"/>
              <w:rPr>
                <w:rFonts w:cs="Arial"/>
                <w:b/>
                <w:bCs/>
                <w:sz w:val="20"/>
                <w:szCs w:val="20"/>
              </w:rPr>
            </w:pPr>
          </w:p>
          <w:p w14:paraId="5ACF887C">
            <w:pPr>
              <w:tabs>
                <w:tab w:val="left" w:pos="851"/>
              </w:tabs>
              <w:snapToGrid w:val="0"/>
              <w:rPr>
                <w:rFonts w:cs="Arial"/>
                <w:b/>
                <w:bCs/>
                <w:sz w:val="20"/>
                <w:szCs w:val="20"/>
              </w:rPr>
            </w:pPr>
          </w:p>
          <w:p w14:paraId="611F96F4">
            <w:pPr>
              <w:tabs>
                <w:tab w:val="left" w:pos="851"/>
              </w:tabs>
              <w:snapToGrid w:val="0"/>
              <w:rPr>
                <w:rFonts w:cs="Arial"/>
                <w:b/>
                <w:bCs/>
                <w:sz w:val="20"/>
                <w:szCs w:val="20"/>
              </w:rPr>
            </w:pPr>
          </w:p>
          <w:p w14:paraId="53DFF43C">
            <w:pPr>
              <w:tabs>
                <w:tab w:val="left" w:pos="851"/>
              </w:tabs>
              <w:snapToGrid w:val="0"/>
              <w:rPr>
                <w:rFonts w:cs="Arial"/>
                <w:b/>
                <w:bCs/>
                <w:sz w:val="20"/>
                <w:szCs w:val="20"/>
              </w:rPr>
            </w:pPr>
          </w:p>
          <w:p w14:paraId="00FBC5FC">
            <w:pPr>
              <w:tabs>
                <w:tab w:val="left" w:pos="851"/>
              </w:tabs>
              <w:snapToGrid w:val="0"/>
              <w:rPr>
                <w:rFonts w:cs="Arial"/>
                <w:b/>
                <w:bCs/>
                <w:sz w:val="20"/>
                <w:szCs w:val="20"/>
              </w:rPr>
            </w:pPr>
          </w:p>
        </w:tc>
      </w:tr>
    </w:tbl>
    <w:p w14:paraId="1D48078B">
      <w:pPr>
        <w:pStyle w:val="26"/>
        <w:rPr>
          <w:sz w:val="20"/>
          <w:szCs w:val="20"/>
        </w:rPr>
      </w:pPr>
      <w:r>
        <w:rPr>
          <w:sz w:val="20"/>
          <w:szCs w:val="20"/>
        </w:rPr>
        <w:t>(*) Le signataire doit avoir le pouvoir d’engager la personne qu’il représente.</w:t>
      </w:r>
    </w:p>
    <w:p w14:paraId="35B50F5F">
      <w:pPr>
        <w:pStyle w:val="3"/>
        <w:ind w:left="796" w:leftChars="0" w:firstLineChars="0"/>
        <w:rPr>
          <w:sz w:val="20"/>
          <w:szCs w:val="20"/>
        </w:rPr>
      </w:pPr>
      <w:r>
        <w:rPr>
          <w:sz w:val="20"/>
          <w:szCs w:val="20"/>
        </w:rPr>
        <w:t>Signature de l’acheteur</w:t>
      </w:r>
    </w:p>
    <w:p w14:paraId="6EA0E463">
      <w:pPr>
        <w:rPr>
          <w:sz w:val="20"/>
          <w:szCs w:val="20"/>
        </w:rPr>
      </w:pPr>
      <w:r>
        <w:rPr>
          <w:sz w:val="20"/>
          <w:szCs w:val="20"/>
        </w:rPr>
        <w:t>La présente offre est acceptée pour le(s) lot(s)………..</w:t>
      </w:r>
    </w:p>
    <w:p w14:paraId="305BA004">
      <w:pPr>
        <w:rPr>
          <w:sz w:val="20"/>
          <w:szCs w:val="20"/>
        </w:rPr>
      </w:pPr>
    </w:p>
    <w:p w14:paraId="6D3DC5BF">
      <w:pPr>
        <w:rPr>
          <w:sz w:val="20"/>
          <w:szCs w:val="20"/>
        </w:rPr>
      </w:pPr>
      <w:r>
        <w:rPr>
          <w:sz w:val="20"/>
          <w:szCs w:val="20"/>
        </w:rPr>
        <w:t>Fait à Saint-Mandé,</w:t>
      </w:r>
    </w:p>
    <w:p w14:paraId="015707FC">
      <w:pPr>
        <w:rPr>
          <w:sz w:val="20"/>
          <w:szCs w:val="20"/>
        </w:rPr>
      </w:pPr>
    </w:p>
    <w:p w14:paraId="02D9F8BC">
      <w:pPr>
        <w:pBdr>
          <w:top w:val="single" w:color="auto" w:sz="4" w:space="1"/>
          <w:left w:val="single" w:color="auto" w:sz="4" w:space="4"/>
          <w:bottom w:val="single" w:color="auto" w:sz="4" w:space="1"/>
          <w:right w:val="single" w:color="auto" w:sz="4" w:space="4"/>
        </w:pBdr>
        <w:jc w:val="center"/>
        <w:rPr>
          <w:sz w:val="20"/>
          <w:szCs w:val="20"/>
        </w:rPr>
      </w:pPr>
      <w:r>
        <w:rPr>
          <w:sz w:val="20"/>
          <w:szCs w:val="20"/>
        </w:rPr>
        <w:t>Signature</w:t>
      </w:r>
    </w:p>
    <w:p w14:paraId="0EC6F936">
      <w:pPr>
        <w:pBdr>
          <w:top w:val="single" w:color="auto" w:sz="4" w:space="1"/>
          <w:left w:val="single" w:color="auto" w:sz="4" w:space="4"/>
          <w:bottom w:val="single" w:color="auto" w:sz="4" w:space="1"/>
          <w:right w:val="single" w:color="auto" w:sz="4" w:space="4"/>
        </w:pBdr>
        <w:jc w:val="center"/>
        <w:rPr>
          <w:sz w:val="20"/>
          <w:szCs w:val="20"/>
        </w:rPr>
      </w:pPr>
      <w:r>
        <w:rPr>
          <w:sz w:val="20"/>
          <w:szCs w:val="20"/>
        </w:rPr>
        <w:t>Pour le Directeur général de l’IGN, et par délégation,</w:t>
      </w:r>
    </w:p>
    <w:p w14:paraId="0E12ABA1">
      <w:pPr>
        <w:pBdr>
          <w:top w:val="single" w:color="auto" w:sz="4" w:space="1"/>
          <w:left w:val="single" w:color="auto" w:sz="4" w:space="4"/>
          <w:bottom w:val="single" w:color="auto" w:sz="4" w:space="1"/>
          <w:right w:val="single" w:color="auto" w:sz="4" w:space="4"/>
        </w:pBdr>
        <w:jc w:val="center"/>
        <w:rPr>
          <w:sz w:val="20"/>
          <w:szCs w:val="20"/>
        </w:rPr>
      </w:pPr>
    </w:p>
    <w:p w14:paraId="71FB1FB7">
      <w:pPr>
        <w:pBdr>
          <w:top w:val="single" w:color="auto" w:sz="4" w:space="1"/>
          <w:left w:val="single" w:color="auto" w:sz="4" w:space="4"/>
          <w:bottom w:val="single" w:color="auto" w:sz="4" w:space="1"/>
          <w:right w:val="single" w:color="auto" w:sz="4" w:space="4"/>
        </w:pBdr>
        <w:jc w:val="center"/>
        <w:rPr>
          <w:sz w:val="20"/>
          <w:szCs w:val="20"/>
        </w:rPr>
      </w:pPr>
    </w:p>
    <w:p w14:paraId="59195BE9">
      <w:pPr>
        <w:pBdr>
          <w:top w:val="single" w:color="auto" w:sz="4" w:space="1"/>
          <w:left w:val="single" w:color="auto" w:sz="4" w:space="4"/>
          <w:bottom w:val="single" w:color="auto" w:sz="4" w:space="1"/>
          <w:right w:val="single" w:color="auto" w:sz="4" w:space="4"/>
        </w:pBdr>
        <w:jc w:val="center"/>
        <w:rPr>
          <w:sz w:val="20"/>
          <w:szCs w:val="20"/>
        </w:rPr>
      </w:pPr>
    </w:p>
    <w:p w14:paraId="3EC88B2C">
      <w:pPr>
        <w:pBdr>
          <w:top w:val="single" w:color="auto" w:sz="4" w:space="1"/>
          <w:left w:val="single" w:color="auto" w:sz="4" w:space="4"/>
          <w:bottom w:val="single" w:color="auto" w:sz="4" w:space="1"/>
          <w:right w:val="single" w:color="auto" w:sz="4" w:space="4"/>
        </w:pBdr>
        <w:jc w:val="center"/>
        <w:rPr>
          <w:sz w:val="20"/>
          <w:szCs w:val="20"/>
        </w:rPr>
      </w:pPr>
    </w:p>
    <w:p w14:paraId="252D47C6">
      <w:pPr>
        <w:pBdr>
          <w:top w:val="single" w:color="auto" w:sz="4" w:space="1"/>
          <w:left w:val="single" w:color="auto" w:sz="4" w:space="4"/>
          <w:bottom w:val="single" w:color="auto" w:sz="4" w:space="1"/>
          <w:right w:val="single" w:color="auto" w:sz="4" w:space="4"/>
        </w:pBdr>
        <w:jc w:val="center"/>
        <w:rPr>
          <w:sz w:val="20"/>
          <w:szCs w:val="20"/>
        </w:rPr>
      </w:pPr>
    </w:p>
    <w:p w14:paraId="2B2B0F8A">
      <w:pPr>
        <w:spacing w:before="0" w:after="200" w:line="276" w:lineRule="auto"/>
        <w:jc w:val="left"/>
        <w:rPr>
          <w:sz w:val="20"/>
          <w:szCs w:val="20"/>
        </w:rPr>
        <w:sectPr>
          <w:headerReference r:id="rId9" w:type="default"/>
          <w:type w:val="continuous"/>
          <w:pgSz w:w="11906" w:h="16838"/>
          <w:pgMar w:top="1134" w:right="1418" w:bottom="1701" w:left="1418" w:header="1126" w:footer="851" w:gutter="0"/>
          <w:cols w:space="708" w:num="1"/>
          <w:docGrid w:linePitch="360" w:charSpace="0"/>
        </w:sectPr>
      </w:pPr>
      <w:r>
        <w:rPr>
          <w:sz w:val="20"/>
          <w:szCs w:val="20"/>
        </w:rPr>
        <w:br w:type="page"/>
      </w:r>
    </w:p>
    <w:p w14:paraId="06B07497">
      <w:pPr>
        <w:pStyle w:val="2"/>
        <w:rPr>
          <w:sz w:val="20"/>
          <w:szCs w:val="20"/>
        </w:rPr>
      </w:pPr>
      <w:bookmarkStart w:id="13" w:name="_Hlk189143686"/>
      <w:r>
        <w:rPr>
          <w:sz w:val="20"/>
          <w:szCs w:val="20"/>
        </w:rPr>
        <w:t>ANNEXE FINANCIÈRE</w:t>
      </w:r>
    </w:p>
    <w:bookmarkEnd w:id="13"/>
    <w:tbl>
      <w:tblPr>
        <w:tblStyle w:val="3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47"/>
        <w:gridCol w:w="7447"/>
      </w:tblGrid>
      <w:tr w14:paraId="5ABEB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00" w:type="pct"/>
            <w:tcBorders>
              <w:bottom w:val="single" w:color="auto" w:sz="12" w:space="0"/>
            </w:tcBorders>
            <w:shd w:val="clear" w:color="auto" w:fill="C2E0EB" w:themeFill="accent5" w:themeFillTint="66"/>
            <w:vAlign w:val="center"/>
          </w:tcPr>
          <w:p w14:paraId="306D3209">
            <w:pPr>
              <w:tabs>
                <w:tab w:val="left" w:pos="851"/>
              </w:tabs>
              <w:suppressAutoHyphens/>
              <w:spacing w:before="0" w:after="0"/>
              <w:jc w:val="center"/>
              <w:rPr>
                <w:rFonts w:eastAsia="Times New Roman" w:cs="Arial"/>
                <w:b/>
                <w:color w:val="auto"/>
                <w:kern w:val="3"/>
                <w:sz w:val="20"/>
                <w:szCs w:val="20"/>
                <w:lang w:eastAsia="fr-FR" w:bidi="hi-IN"/>
              </w:rPr>
            </w:pPr>
            <w:bookmarkStart w:id="14" w:name="_Hlk189127004"/>
          </w:p>
          <w:p w14:paraId="1FEC8DD9">
            <w:pPr>
              <w:tabs>
                <w:tab w:val="left" w:pos="851"/>
              </w:tabs>
              <w:suppressAutoHyphens/>
              <w:spacing w:before="0" w:after="0"/>
              <w:jc w:val="center"/>
              <w:rPr>
                <w:rFonts w:eastAsia="Times New Roman" w:cs="Arial"/>
                <w:b/>
                <w:color w:val="auto"/>
                <w:kern w:val="3"/>
                <w:sz w:val="20"/>
                <w:szCs w:val="20"/>
                <w:lang w:eastAsia="fr-FR" w:bidi="hi-IN"/>
              </w:rPr>
            </w:pPr>
            <w:r>
              <w:rPr>
                <w:rFonts w:eastAsia="Times New Roman" w:cs="Arial"/>
                <w:b/>
                <w:color w:val="auto"/>
                <w:kern w:val="3"/>
                <w:sz w:val="20"/>
                <w:szCs w:val="20"/>
                <w:lang w:eastAsia="fr-FR" w:bidi="hi-IN"/>
              </w:rPr>
              <w:t>Montant minimum de</w:t>
            </w:r>
            <w:r>
              <w:rPr>
                <w:rFonts w:hint="default" w:eastAsia="Times New Roman" w:cs="Arial"/>
                <w:b/>
                <w:color w:val="auto"/>
                <w:kern w:val="3"/>
                <w:sz w:val="20"/>
                <w:szCs w:val="20"/>
                <w:lang w:val="en-US" w:eastAsia="fr-FR" w:bidi="hi-IN"/>
              </w:rPr>
              <w:t xml:space="preserve"> la </w:t>
            </w:r>
            <w:r>
              <w:rPr>
                <w:rFonts w:eastAsia="Times New Roman" w:cs="Arial"/>
                <w:b/>
                <w:color w:val="auto"/>
                <w:kern w:val="3"/>
                <w:sz w:val="20"/>
                <w:szCs w:val="20"/>
                <w:lang w:eastAsia="fr-FR" w:bidi="hi-IN"/>
              </w:rPr>
              <w:t>commande</w:t>
            </w:r>
          </w:p>
          <w:p w14:paraId="61F10204">
            <w:pPr>
              <w:tabs>
                <w:tab w:val="left" w:pos="851"/>
              </w:tabs>
              <w:suppressAutoHyphens/>
              <w:spacing w:before="0" w:after="0"/>
              <w:jc w:val="center"/>
              <w:rPr>
                <w:rFonts w:hint="default" w:eastAsia="Times New Roman" w:cs="Arial"/>
                <w:b/>
                <w:color w:val="auto"/>
                <w:kern w:val="3"/>
                <w:sz w:val="20"/>
                <w:szCs w:val="20"/>
                <w:highlight w:val="none"/>
                <w:lang w:val="en-US" w:eastAsia="fr-FR" w:bidi="hi-IN"/>
              </w:rPr>
            </w:pPr>
            <w:r>
              <w:rPr>
                <w:rFonts w:eastAsia="Times New Roman" w:cs="Arial"/>
                <w:b/>
                <w:color w:val="auto"/>
                <w:kern w:val="3"/>
                <w:sz w:val="20"/>
                <w:szCs w:val="20"/>
                <w:highlight w:val="none"/>
                <w:lang w:eastAsia="fr-FR" w:bidi="hi-IN"/>
              </w:rPr>
              <w:t>de</w:t>
            </w:r>
            <w:r>
              <w:rPr>
                <w:rFonts w:hint="default" w:eastAsia="Times New Roman" w:cs="Arial"/>
                <w:b/>
                <w:color w:val="auto"/>
                <w:kern w:val="3"/>
                <w:sz w:val="20"/>
                <w:szCs w:val="20"/>
                <w:highlight w:val="none"/>
                <w:lang w:val="en-US" w:eastAsia="fr-FR" w:bidi="hi-IN"/>
              </w:rPr>
              <w:t>s 2 sessions de formation</w:t>
            </w:r>
          </w:p>
          <w:p w14:paraId="5A9958E0">
            <w:pPr>
              <w:widowControl w:val="0"/>
              <w:suppressAutoHyphens/>
              <w:autoSpaceDN w:val="0"/>
              <w:spacing w:before="0" w:after="0"/>
              <w:jc w:val="center"/>
              <w:textAlignment w:val="baseline"/>
              <w:rPr>
                <w:rFonts w:eastAsia="Times New Roman" w:cs="Arial"/>
                <w:b/>
                <w:color w:val="auto"/>
                <w:kern w:val="3"/>
                <w:sz w:val="20"/>
                <w:szCs w:val="20"/>
                <w:lang w:eastAsia="fr-FR" w:bidi="hi-IN"/>
              </w:rPr>
            </w:pPr>
          </w:p>
        </w:tc>
        <w:tc>
          <w:tcPr>
            <w:tcW w:w="2500" w:type="pct"/>
            <w:tcBorders>
              <w:bottom w:val="single" w:color="auto" w:sz="12" w:space="0"/>
            </w:tcBorders>
            <w:shd w:val="clear" w:color="auto" w:fill="C2E0EB" w:themeFill="accent5" w:themeFillTint="66"/>
            <w:vAlign w:val="center"/>
          </w:tcPr>
          <w:p w14:paraId="36207139">
            <w:pPr>
              <w:tabs>
                <w:tab w:val="left" w:pos="851"/>
              </w:tabs>
              <w:suppressAutoHyphens/>
              <w:spacing w:before="0" w:after="0"/>
              <w:jc w:val="center"/>
              <w:rPr>
                <w:rFonts w:hint="default" w:eastAsia="Times New Roman" w:cs="Arial"/>
                <w:b/>
                <w:color w:val="auto"/>
                <w:kern w:val="3"/>
                <w:sz w:val="20"/>
                <w:szCs w:val="20"/>
                <w:highlight w:val="none"/>
                <w:lang w:val="en-US" w:eastAsia="fr-FR" w:bidi="hi-IN"/>
              </w:rPr>
            </w:pPr>
            <w:r>
              <w:rPr>
                <w:rFonts w:eastAsia="Times New Roman" w:cs="Arial"/>
                <w:b/>
                <w:color w:val="auto"/>
                <w:kern w:val="3"/>
                <w:sz w:val="20"/>
                <w:szCs w:val="20"/>
                <w:highlight w:val="none"/>
                <w:lang w:eastAsia="fr-FR" w:bidi="hi-IN"/>
              </w:rPr>
              <w:t>Montant maximum</w:t>
            </w:r>
            <w:r>
              <w:rPr>
                <w:rFonts w:hint="default" w:eastAsia="Times New Roman" w:cs="Arial"/>
                <w:b/>
                <w:color w:val="auto"/>
                <w:kern w:val="3"/>
                <w:sz w:val="20"/>
                <w:szCs w:val="20"/>
                <w:highlight w:val="none"/>
                <w:lang w:val="en-US" w:eastAsia="fr-FR" w:bidi="hi-IN"/>
              </w:rPr>
              <w:t xml:space="preserve"> de la commande </w:t>
            </w:r>
          </w:p>
          <w:p w14:paraId="6769A3D3">
            <w:pPr>
              <w:tabs>
                <w:tab w:val="left" w:pos="851"/>
              </w:tabs>
              <w:suppressAutoHyphens/>
              <w:spacing w:before="0" w:after="0"/>
              <w:jc w:val="center"/>
              <w:rPr>
                <w:rFonts w:eastAsia="Times New Roman" w:cs="Arial"/>
                <w:b/>
                <w:color w:val="auto"/>
                <w:kern w:val="3"/>
                <w:sz w:val="20"/>
                <w:szCs w:val="20"/>
                <w:highlight w:val="none"/>
                <w:lang w:eastAsia="fr-FR" w:bidi="hi-IN"/>
              </w:rPr>
            </w:pPr>
            <w:r>
              <w:rPr>
                <w:rFonts w:eastAsia="Times New Roman" w:cs="Arial"/>
                <w:b/>
                <w:color w:val="auto"/>
                <w:kern w:val="3"/>
                <w:sz w:val="20"/>
                <w:szCs w:val="20"/>
                <w:highlight w:val="none"/>
                <w:lang w:eastAsia="fr-FR" w:bidi="hi-IN"/>
              </w:rPr>
              <w:t>de</w:t>
            </w:r>
            <w:r>
              <w:rPr>
                <w:rFonts w:hint="default" w:eastAsia="Times New Roman" w:cs="Arial"/>
                <w:b/>
                <w:color w:val="auto"/>
                <w:kern w:val="3"/>
                <w:sz w:val="20"/>
                <w:szCs w:val="20"/>
                <w:highlight w:val="none"/>
                <w:lang w:val="en-US" w:eastAsia="fr-FR" w:bidi="hi-IN"/>
              </w:rPr>
              <w:t>s 2 sessions de formation</w:t>
            </w:r>
          </w:p>
        </w:tc>
      </w:tr>
      <w:tr w14:paraId="06AD2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00" w:type="pct"/>
            <w:tcBorders>
              <w:top w:val="single" w:color="auto" w:sz="12" w:space="0"/>
            </w:tcBorders>
            <w:shd w:val="clear" w:color="auto" w:fill="auto"/>
            <w:vAlign w:val="center"/>
          </w:tcPr>
          <w:p w14:paraId="6205D36F">
            <w:pPr>
              <w:tabs>
                <w:tab w:val="left" w:pos="851"/>
              </w:tabs>
              <w:suppressAutoHyphens/>
              <w:spacing w:before="0" w:after="0"/>
              <w:jc w:val="center"/>
              <w:rPr>
                <w:rFonts w:eastAsia="Times New Roman" w:cs="Arial"/>
                <w:color w:val="auto"/>
                <w:sz w:val="20"/>
                <w:szCs w:val="20"/>
                <w:lang w:eastAsia="zh-CN"/>
              </w:rPr>
            </w:pPr>
            <w:r>
              <w:rPr>
                <w:rFonts w:eastAsia="Times New Roman" w:cs="Arial"/>
                <w:color w:val="auto"/>
                <w:sz w:val="20"/>
                <w:szCs w:val="20"/>
                <w:lang w:eastAsia="zh-CN"/>
              </w:rPr>
              <w:t>Sans minimum</w:t>
            </w:r>
          </w:p>
        </w:tc>
        <w:tc>
          <w:tcPr>
            <w:tcW w:w="2500" w:type="pct"/>
            <w:tcBorders>
              <w:top w:val="single" w:color="auto" w:sz="12" w:space="0"/>
            </w:tcBorders>
            <w:shd w:val="clear" w:color="auto" w:fill="auto"/>
            <w:vAlign w:val="center"/>
          </w:tcPr>
          <w:p w14:paraId="148D2ABC">
            <w:pPr>
              <w:tabs>
                <w:tab w:val="left" w:pos="851"/>
              </w:tabs>
              <w:suppressAutoHyphens/>
              <w:spacing w:before="0" w:after="0"/>
              <w:jc w:val="center"/>
              <w:rPr>
                <w:rFonts w:hint="default" w:eastAsia="Times New Roman" w:cs="Arial"/>
                <w:color w:val="auto"/>
                <w:sz w:val="20"/>
                <w:szCs w:val="20"/>
                <w:highlight w:val="none"/>
                <w:lang w:val="fr-FR" w:eastAsia="zh-CN"/>
              </w:rPr>
            </w:pPr>
            <w:r>
              <w:rPr>
                <w:rFonts w:hint="default" w:eastAsia="Times New Roman" w:cs="Arial"/>
                <w:color w:val="auto"/>
                <w:sz w:val="20"/>
                <w:szCs w:val="20"/>
                <w:highlight w:val="none"/>
                <w:lang w:val="fr-FR" w:eastAsia="zh-CN"/>
              </w:rPr>
              <w:t>7000 € HT</w:t>
            </w:r>
          </w:p>
        </w:tc>
      </w:tr>
      <w:bookmarkEnd w:id="14"/>
    </w:tbl>
    <w:p w14:paraId="3B079C0F">
      <w:pPr>
        <w:pStyle w:val="18"/>
        <w:numPr>
          <w:ilvl w:val="0"/>
          <w:numId w:val="0"/>
        </w:numPr>
        <w:spacing w:before="0"/>
        <w:ind w:left="720"/>
        <w:contextualSpacing/>
        <w:rPr>
          <w:sz w:val="20"/>
          <w:szCs w:val="20"/>
        </w:rPr>
      </w:pPr>
    </w:p>
    <w:p w14:paraId="50A38FDE">
      <w:pPr>
        <w:pStyle w:val="18"/>
        <w:numPr>
          <w:ilvl w:val="0"/>
          <w:numId w:val="0"/>
        </w:numPr>
        <w:spacing w:before="0"/>
        <w:ind w:left="720"/>
        <w:contextualSpacing/>
        <w:rPr>
          <w:sz w:val="20"/>
          <w:szCs w:val="20"/>
        </w:rPr>
      </w:pPr>
      <w:bookmarkStart w:id="15" w:name="_Hlk189130041"/>
    </w:p>
    <w:bookmarkEnd w:id="15"/>
    <w:tbl>
      <w:tblPr>
        <w:tblStyle w:val="8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73"/>
        <w:gridCol w:w="2277"/>
        <w:gridCol w:w="2250"/>
        <w:gridCol w:w="2894"/>
      </w:tblGrid>
      <w:tr w14:paraId="31092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2508" w:type="pct"/>
            <w:tcBorders>
              <w:bottom w:val="single" w:color="auto" w:sz="12" w:space="0"/>
            </w:tcBorders>
            <w:shd w:val="clear" w:color="auto" w:fill="C2E0EB" w:themeFill="accent5" w:themeFillTint="66"/>
            <w:vAlign w:val="center"/>
          </w:tcPr>
          <w:p w14:paraId="1895C2F0">
            <w:pPr>
              <w:spacing w:before="200" w:after="200" w:line="276" w:lineRule="auto"/>
              <w:jc w:val="center"/>
              <w:rPr>
                <w:rFonts w:eastAsia="MS Mincho" w:cs="Times New Roman"/>
                <w:b/>
                <w:bCs/>
                <w:color w:val="auto"/>
                <w:sz w:val="20"/>
                <w:szCs w:val="20"/>
                <w:lang w:eastAsia="fr-FR"/>
              </w:rPr>
            </w:pPr>
            <w:bookmarkStart w:id="16" w:name="_Hlk178948292"/>
            <w:r>
              <w:rPr>
                <w:rFonts w:eastAsia="MS Mincho" w:cs="Times New Roman"/>
                <w:b/>
                <w:bCs/>
                <w:color w:val="auto"/>
                <w:sz w:val="20"/>
                <w:szCs w:val="20"/>
                <w:lang w:eastAsia="fr-FR"/>
              </w:rPr>
              <w:t>Formation en intr</w:t>
            </w:r>
            <w:r>
              <w:rPr>
                <w:rFonts w:hint="default" w:eastAsia="MS Mincho" w:cs="Times New Roman"/>
                <w:b/>
                <w:bCs/>
                <w:color w:val="auto"/>
                <w:sz w:val="20"/>
                <w:szCs w:val="20"/>
                <w:lang w:val="en-US" w:eastAsia="fr-FR"/>
              </w:rPr>
              <w:t>a</w:t>
            </w:r>
            <w:r>
              <w:rPr>
                <w:rFonts w:eastAsia="MS Mincho" w:cs="Times New Roman"/>
                <w:b/>
                <w:bCs/>
                <w:color w:val="auto"/>
                <w:sz w:val="20"/>
                <w:szCs w:val="20"/>
                <w:lang w:eastAsia="fr-FR"/>
              </w:rPr>
              <w:t>-entreprise en présentiel</w:t>
            </w:r>
          </w:p>
        </w:tc>
        <w:tc>
          <w:tcPr>
            <w:tcW w:w="764" w:type="pct"/>
            <w:tcBorders>
              <w:bottom w:val="single" w:color="auto" w:sz="12" w:space="0"/>
            </w:tcBorders>
            <w:shd w:val="clear" w:color="auto" w:fill="C2E0EB" w:themeFill="accent5" w:themeFillTint="66"/>
            <w:vAlign w:val="center"/>
          </w:tcPr>
          <w:p w14:paraId="44642377">
            <w:pPr>
              <w:spacing w:before="200" w:after="200" w:line="276" w:lineRule="auto"/>
              <w:jc w:val="center"/>
              <w:rPr>
                <w:rFonts w:eastAsia="MS Mincho" w:cs="Times New Roman"/>
                <w:b/>
                <w:bCs/>
                <w:color w:val="auto"/>
                <w:sz w:val="20"/>
                <w:szCs w:val="20"/>
                <w:lang w:eastAsia="fr-FR"/>
              </w:rPr>
            </w:pPr>
            <w:r>
              <w:rPr>
                <w:rFonts w:eastAsia="MS Mincho" w:cs="Times New Roman"/>
                <w:b/>
                <w:bCs/>
                <w:color w:val="auto"/>
                <w:sz w:val="20"/>
                <w:szCs w:val="20"/>
                <w:lang w:eastAsia="fr-FR"/>
              </w:rPr>
              <w:t>Nombre de jours de formation</w:t>
            </w:r>
          </w:p>
        </w:tc>
        <w:tc>
          <w:tcPr>
            <w:tcW w:w="755" w:type="pct"/>
            <w:tcBorders>
              <w:bottom w:val="single" w:color="auto" w:sz="12" w:space="0"/>
            </w:tcBorders>
            <w:shd w:val="clear" w:color="auto" w:fill="C2E0EB" w:themeFill="accent5" w:themeFillTint="66"/>
            <w:vAlign w:val="center"/>
          </w:tcPr>
          <w:p w14:paraId="50B16180">
            <w:pPr>
              <w:spacing w:before="200" w:after="200" w:line="276" w:lineRule="auto"/>
              <w:jc w:val="center"/>
              <w:rPr>
                <w:rFonts w:eastAsia="MS Mincho" w:cs="Times New Roman"/>
                <w:b/>
                <w:bCs/>
                <w:color w:val="auto"/>
                <w:sz w:val="20"/>
                <w:szCs w:val="20"/>
                <w:lang w:eastAsia="fr-FR"/>
              </w:rPr>
            </w:pPr>
            <w:r>
              <w:rPr>
                <w:rFonts w:eastAsia="MS Mincho" w:cs="Times New Roman"/>
                <w:b/>
                <w:bCs/>
                <w:color w:val="auto"/>
                <w:sz w:val="20"/>
                <w:szCs w:val="20"/>
                <w:lang w:eastAsia="fr-FR"/>
              </w:rPr>
              <w:t>Montant HT</w:t>
            </w:r>
          </w:p>
        </w:tc>
        <w:tc>
          <w:tcPr>
            <w:tcW w:w="971" w:type="pct"/>
            <w:tcBorders>
              <w:bottom w:val="single" w:color="auto" w:sz="12" w:space="0"/>
            </w:tcBorders>
            <w:shd w:val="clear" w:color="auto" w:fill="C2E0EB" w:themeFill="accent5" w:themeFillTint="66"/>
            <w:vAlign w:val="center"/>
          </w:tcPr>
          <w:p w14:paraId="641FBFAD">
            <w:pPr>
              <w:spacing w:before="200" w:after="200" w:line="276" w:lineRule="auto"/>
              <w:jc w:val="center"/>
              <w:rPr>
                <w:rFonts w:eastAsia="MS Mincho" w:cs="Times New Roman"/>
                <w:b/>
                <w:bCs/>
                <w:color w:val="auto"/>
                <w:sz w:val="20"/>
                <w:szCs w:val="20"/>
                <w:lang w:eastAsia="fr-FR"/>
              </w:rPr>
            </w:pPr>
            <w:r>
              <w:rPr>
                <w:rFonts w:eastAsia="MS Mincho" w:cs="Times New Roman"/>
                <w:b/>
                <w:bCs/>
                <w:color w:val="auto"/>
                <w:sz w:val="20"/>
                <w:szCs w:val="20"/>
                <w:lang w:eastAsia="fr-FR"/>
              </w:rPr>
              <w:t>Montant remisé</w:t>
            </w:r>
          </w:p>
        </w:tc>
      </w:tr>
      <w:tr w14:paraId="503E2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2508" w:type="pct"/>
            <w:tcBorders>
              <w:top w:val="single" w:color="auto" w:sz="12" w:space="0"/>
              <w:bottom w:val="single" w:color="auto" w:sz="12" w:space="0"/>
            </w:tcBorders>
            <w:shd w:val="clear" w:color="auto" w:fill="C2E0EB" w:themeFill="accent5" w:themeFillTint="66"/>
            <w:vAlign w:val="center"/>
          </w:tcPr>
          <w:p w14:paraId="48268FE2">
            <w:pPr>
              <w:spacing w:before="200" w:after="200" w:line="276" w:lineRule="auto"/>
              <w:jc w:val="center"/>
              <w:rPr>
                <w:rFonts w:hint="default" w:eastAsia="MS Mincho" w:cs="Times New Roman"/>
                <w:b/>
                <w:bCs/>
                <w:color w:val="auto"/>
                <w:sz w:val="20"/>
                <w:szCs w:val="20"/>
                <w:lang w:val="en-US" w:eastAsia="fr-FR"/>
              </w:rPr>
            </w:pPr>
            <w:r>
              <w:rPr>
                <w:rFonts w:eastAsia="MS Mincho" w:cs="Times New Roman"/>
                <w:b/>
                <w:bCs/>
                <w:color w:val="auto"/>
                <w:sz w:val="20"/>
                <w:szCs w:val="20"/>
                <w:lang w:eastAsia="fr-FR"/>
              </w:rPr>
              <w:t>Prix d</w:t>
            </w:r>
            <w:r>
              <w:rPr>
                <w:rFonts w:hint="default" w:eastAsia="MS Mincho" w:cs="Times New Roman"/>
                <w:b/>
                <w:bCs/>
                <w:color w:val="auto"/>
                <w:sz w:val="20"/>
                <w:szCs w:val="20"/>
                <w:lang w:val="en-US" w:eastAsia="fr-FR"/>
              </w:rPr>
              <w:t xml:space="preserve">e la </w:t>
            </w:r>
            <w:r>
              <w:rPr>
                <w:rFonts w:eastAsia="MS Mincho" w:cs="Times New Roman"/>
                <w:b/>
                <w:bCs/>
                <w:color w:val="auto"/>
                <w:sz w:val="20"/>
                <w:szCs w:val="20"/>
                <w:lang w:eastAsia="fr-FR"/>
              </w:rPr>
              <w:t xml:space="preserve">session </w:t>
            </w:r>
            <w:r>
              <w:rPr>
                <w:rFonts w:hint="default" w:eastAsia="MS Mincho" w:cs="Times New Roman"/>
                <w:b/>
                <w:bCs/>
                <w:color w:val="auto"/>
                <w:sz w:val="20"/>
                <w:szCs w:val="20"/>
                <w:lang w:val="en-US" w:eastAsia="fr-FR"/>
              </w:rPr>
              <w:t>sur le site de Saint-Mandé</w:t>
            </w:r>
          </w:p>
        </w:tc>
        <w:tc>
          <w:tcPr>
            <w:tcW w:w="764" w:type="pct"/>
            <w:tcBorders>
              <w:top w:val="single" w:color="auto" w:sz="12" w:space="0"/>
              <w:bottom w:val="single" w:color="auto" w:sz="12" w:space="0"/>
            </w:tcBorders>
            <w:vAlign w:val="center"/>
          </w:tcPr>
          <w:p w14:paraId="0A6ABA61">
            <w:pPr>
              <w:spacing w:before="200" w:after="200" w:line="276" w:lineRule="auto"/>
              <w:jc w:val="center"/>
              <w:rPr>
                <w:rFonts w:eastAsia="MS Mincho" w:cs="Times New Roman"/>
                <w:color w:val="auto"/>
                <w:sz w:val="20"/>
                <w:szCs w:val="20"/>
                <w:lang w:eastAsia="fr-FR"/>
              </w:rPr>
            </w:pPr>
          </w:p>
        </w:tc>
        <w:tc>
          <w:tcPr>
            <w:tcW w:w="755" w:type="pct"/>
            <w:tcBorders>
              <w:top w:val="single" w:color="auto" w:sz="12" w:space="0"/>
              <w:bottom w:val="single" w:color="auto" w:sz="12" w:space="0"/>
            </w:tcBorders>
            <w:vAlign w:val="center"/>
          </w:tcPr>
          <w:p w14:paraId="3B7CD695">
            <w:pPr>
              <w:spacing w:before="200" w:after="200" w:line="276" w:lineRule="auto"/>
              <w:jc w:val="center"/>
              <w:rPr>
                <w:rFonts w:eastAsia="MS Mincho" w:cs="Times New Roman"/>
                <w:color w:val="auto"/>
                <w:sz w:val="20"/>
                <w:szCs w:val="20"/>
                <w:lang w:eastAsia="fr-FR"/>
              </w:rPr>
            </w:pPr>
          </w:p>
        </w:tc>
        <w:tc>
          <w:tcPr>
            <w:tcW w:w="971" w:type="pct"/>
            <w:tcBorders>
              <w:top w:val="single" w:color="auto" w:sz="12" w:space="0"/>
              <w:bottom w:val="single" w:color="auto" w:sz="12" w:space="0"/>
            </w:tcBorders>
            <w:vAlign w:val="center"/>
          </w:tcPr>
          <w:p w14:paraId="37DA6414">
            <w:pPr>
              <w:spacing w:before="200" w:after="200" w:line="276" w:lineRule="auto"/>
              <w:jc w:val="center"/>
              <w:rPr>
                <w:rFonts w:eastAsia="MS Mincho" w:cs="Times New Roman"/>
                <w:color w:val="auto"/>
                <w:sz w:val="20"/>
                <w:szCs w:val="20"/>
                <w:lang w:eastAsia="fr-FR"/>
              </w:rPr>
            </w:pPr>
          </w:p>
        </w:tc>
      </w:tr>
      <w:tr w14:paraId="6181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2508" w:type="pct"/>
            <w:tcBorders>
              <w:top w:val="single" w:color="auto" w:sz="12" w:space="0"/>
              <w:bottom w:val="single" w:color="auto" w:sz="12" w:space="0"/>
            </w:tcBorders>
            <w:shd w:val="clear" w:color="auto" w:fill="C2E0EB" w:themeFill="accent5" w:themeFillTint="66"/>
            <w:vAlign w:val="center"/>
          </w:tcPr>
          <w:p w14:paraId="1A51C67F">
            <w:pPr>
              <w:spacing w:before="200" w:after="200" w:line="276" w:lineRule="auto"/>
              <w:jc w:val="center"/>
              <w:rPr>
                <w:rFonts w:eastAsia="MS Mincho" w:cs="Times New Roman"/>
                <w:b/>
                <w:bCs/>
                <w:color w:val="auto"/>
                <w:sz w:val="20"/>
                <w:szCs w:val="20"/>
                <w:lang w:eastAsia="fr-FR"/>
              </w:rPr>
            </w:pPr>
            <w:r>
              <w:rPr>
                <w:rFonts w:eastAsia="MS Mincho" w:cs="Times New Roman"/>
                <w:b/>
                <w:bCs/>
                <w:color w:val="auto"/>
                <w:sz w:val="20"/>
                <w:szCs w:val="20"/>
                <w:lang w:eastAsia="fr-FR"/>
              </w:rPr>
              <w:t>Prix d</w:t>
            </w:r>
            <w:r>
              <w:rPr>
                <w:rFonts w:hint="default" w:eastAsia="MS Mincho" w:cs="Times New Roman"/>
                <w:b/>
                <w:bCs/>
                <w:color w:val="auto"/>
                <w:sz w:val="20"/>
                <w:szCs w:val="20"/>
                <w:lang w:val="en-US" w:eastAsia="fr-FR"/>
              </w:rPr>
              <w:t xml:space="preserve">e la </w:t>
            </w:r>
            <w:r>
              <w:rPr>
                <w:rFonts w:eastAsia="MS Mincho" w:cs="Times New Roman"/>
                <w:b/>
                <w:bCs/>
                <w:color w:val="auto"/>
                <w:sz w:val="20"/>
                <w:szCs w:val="20"/>
                <w:lang w:eastAsia="fr-FR"/>
              </w:rPr>
              <w:t xml:space="preserve">session </w:t>
            </w:r>
            <w:r>
              <w:rPr>
                <w:rFonts w:hint="default" w:eastAsia="MS Mincho" w:cs="Times New Roman"/>
                <w:b/>
                <w:bCs/>
                <w:color w:val="auto"/>
                <w:sz w:val="20"/>
                <w:szCs w:val="20"/>
                <w:lang w:val="en-US" w:eastAsia="fr-FR"/>
              </w:rPr>
              <w:t>sur le site de Villefranche-sur-Cher</w:t>
            </w:r>
          </w:p>
        </w:tc>
        <w:tc>
          <w:tcPr>
            <w:tcW w:w="764" w:type="pct"/>
            <w:tcBorders>
              <w:top w:val="single" w:color="auto" w:sz="12" w:space="0"/>
              <w:bottom w:val="single" w:color="auto" w:sz="12" w:space="0"/>
            </w:tcBorders>
            <w:vAlign w:val="center"/>
          </w:tcPr>
          <w:p w14:paraId="4E566F43">
            <w:pPr>
              <w:spacing w:before="200" w:after="200" w:line="276" w:lineRule="auto"/>
              <w:jc w:val="center"/>
              <w:rPr>
                <w:rFonts w:eastAsia="MS Mincho" w:cs="Times New Roman"/>
                <w:color w:val="auto"/>
                <w:sz w:val="20"/>
                <w:szCs w:val="20"/>
                <w:lang w:eastAsia="fr-FR"/>
              </w:rPr>
            </w:pPr>
          </w:p>
        </w:tc>
        <w:tc>
          <w:tcPr>
            <w:tcW w:w="755" w:type="pct"/>
            <w:tcBorders>
              <w:top w:val="single" w:color="auto" w:sz="12" w:space="0"/>
              <w:bottom w:val="single" w:color="auto" w:sz="12" w:space="0"/>
            </w:tcBorders>
            <w:vAlign w:val="center"/>
          </w:tcPr>
          <w:p w14:paraId="13D01196">
            <w:pPr>
              <w:spacing w:before="200" w:after="200" w:line="276" w:lineRule="auto"/>
              <w:jc w:val="center"/>
              <w:rPr>
                <w:rFonts w:eastAsia="MS Mincho" w:cs="Times New Roman"/>
                <w:color w:val="auto"/>
                <w:sz w:val="20"/>
                <w:szCs w:val="20"/>
                <w:lang w:eastAsia="fr-FR"/>
              </w:rPr>
            </w:pPr>
          </w:p>
        </w:tc>
        <w:tc>
          <w:tcPr>
            <w:tcW w:w="971" w:type="pct"/>
            <w:tcBorders>
              <w:top w:val="single" w:color="auto" w:sz="12" w:space="0"/>
              <w:bottom w:val="single" w:color="auto" w:sz="12" w:space="0"/>
            </w:tcBorders>
            <w:vAlign w:val="center"/>
          </w:tcPr>
          <w:p w14:paraId="62F986A0">
            <w:pPr>
              <w:spacing w:before="200" w:after="200" w:line="276" w:lineRule="auto"/>
              <w:jc w:val="center"/>
              <w:rPr>
                <w:rFonts w:eastAsia="MS Mincho" w:cs="Times New Roman"/>
                <w:color w:val="auto"/>
                <w:sz w:val="20"/>
                <w:szCs w:val="20"/>
                <w:lang w:eastAsia="fr-FR"/>
              </w:rPr>
            </w:pPr>
          </w:p>
        </w:tc>
      </w:tr>
      <w:tr w14:paraId="26CEB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2508" w:type="pct"/>
            <w:tcBorders>
              <w:top w:val="single" w:color="auto" w:sz="12" w:space="0"/>
              <w:bottom w:val="single" w:color="auto" w:sz="4" w:space="0"/>
            </w:tcBorders>
            <w:shd w:val="clear" w:color="auto" w:fill="C2E0EB" w:themeFill="accent5" w:themeFillTint="66"/>
            <w:vAlign w:val="center"/>
          </w:tcPr>
          <w:p w14:paraId="59FB8919">
            <w:pPr>
              <w:spacing w:before="200" w:after="200" w:line="276" w:lineRule="auto"/>
              <w:jc w:val="center"/>
              <w:rPr>
                <w:rFonts w:hint="default" w:eastAsia="MS Mincho" w:cs="Times New Roman"/>
                <w:b/>
                <w:bCs/>
                <w:color w:val="auto"/>
                <w:sz w:val="20"/>
                <w:szCs w:val="20"/>
                <w:lang w:val="en-US" w:eastAsia="fr-FR"/>
              </w:rPr>
            </w:pPr>
            <w:r>
              <w:rPr>
                <w:rFonts w:hint="default" w:eastAsia="MS Mincho" w:cs="Times New Roman"/>
                <w:b/>
                <w:bCs/>
                <w:color w:val="auto"/>
                <w:sz w:val="20"/>
                <w:szCs w:val="20"/>
                <w:lang w:val="en-US" w:eastAsia="fr-FR"/>
              </w:rPr>
              <w:t>Prix</w:t>
            </w:r>
            <w:r>
              <w:rPr>
                <w:rFonts w:eastAsia="MS Mincho" w:cs="Times New Roman"/>
                <w:b/>
                <w:bCs/>
                <w:color w:val="auto"/>
                <w:sz w:val="20"/>
                <w:szCs w:val="20"/>
                <w:lang w:eastAsia="fr-FR"/>
              </w:rPr>
              <w:t xml:space="preserve"> d</w:t>
            </w:r>
            <w:r>
              <w:rPr>
                <w:rFonts w:hint="default" w:eastAsia="MS Mincho" w:cs="Times New Roman"/>
                <w:b/>
                <w:bCs/>
                <w:color w:val="auto"/>
                <w:sz w:val="20"/>
                <w:szCs w:val="20"/>
                <w:lang w:val="en-US" w:eastAsia="fr-FR"/>
              </w:rPr>
              <w:t xml:space="preserve">e l’ensemble des 2 </w:t>
            </w:r>
            <w:r>
              <w:rPr>
                <w:rFonts w:eastAsia="MS Mincho" w:cs="Times New Roman"/>
                <w:b/>
                <w:bCs/>
                <w:color w:val="auto"/>
                <w:sz w:val="20"/>
                <w:szCs w:val="20"/>
                <w:lang w:eastAsia="fr-FR"/>
              </w:rPr>
              <w:t>session</w:t>
            </w:r>
            <w:r>
              <w:rPr>
                <w:rFonts w:hint="default" w:eastAsia="MS Mincho" w:cs="Times New Roman"/>
                <w:b/>
                <w:bCs/>
                <w:color w:val="auto"/>
                <w:sz w:val="20"/>
                <w:szCs w:val="20"/>
                <w:lang w:val="en-US" w:eastAsia="fr-FR"/>
              </w:rPr>
              <w:t>s</w:t>
            </w:r>
            <w:r>
              <w:rPr>
                <w:rFonts w:eastAsia="MS Mincho" w:cs="Times New Roman"/>
                <w:b/>
                <w:bCs/>
                <w:color w:val="auto"/>
                <w:sz w:val="20"/>
                <w:szCs w:val="20"/>
                <w:lang w:eastAsia="fr-FR"/>
              </w:rPr>
              <w:t xml:space="preserve"> </w:t>
            </w:r>
          </w:p>
        </w:tc>
        <w:tc>
          <w:tcPr>
            <w:tcW w:w="764" w:type="pct"/>
            <w:tcBorders>
              <w:top w:val="single" w:color="auto" w:sz="12" w:space="0"/>
              <w:bottom w:val="single" w:color="auto" w:sz="4" w:space="0"/>
            </w:tcBorders>
            <w:vAlign w:val="center"/>
          </w:tcPr>
          <w:p w14:paraId="568EA2B0">
            <w:pPr>
              <w:spacing w:before="200" w:after="200" w:line="276" w:lineRule="auto"/>
              <w:jc w:val="center"/>
              <w:rPr>
                <w:rFonts w:eastAsia="MS Mincho" w:cs="Times New Roman"/>
                <w:color w:val="auto"/>
                <w:sz w:val="20"/>
                <w:szCs w:val="20"/>
                <w:lang w:eastAsia="fr-FR"/>
              </w:rPr>
            </w:pPr>
          </w:p>
        </w:tc>
        <w:tc>
          <w:tcPr>
            <w:tcW w:w="755" w:type="pct"/>
            <w:tcBorders>
              <w:top w:val="single" w:color="auto" w:sz="12" w:space="0"/>
              <w:bottom w:val="single" w:color="auto" w:sz="4" w:space="0"/>
            </w:tcBorders>
            <w:vAlign w:val="center"/>
          </w:tcPr>
          <w:p w14:paraId="047CB33E">
            <w:pPr>
              <w:spacing w:before="200" w:after="200" w:line="276" w:lineRule="auto"/>
              <w:jc w:val="center"/>
              <w:rPr>
                <w:rFonts w:eastAsia="MS Mincho" w:cs="Times New Roman"/>
                <w:color w:val="auto"/>
                <w:sz w:val="20"/>
                <w:szCs w:val="20"/>
                <w:lang w:eastAsia="fr-FR"/>
              </w:rPr>
            </w:pPr>
          </w:p>
        </w:tc>
        <w:tc>
          <w:tcPr>
            <w:tcW w:w="971" w:type="pct"/>
            <w:tcBorders>
              <w:top w:val="single" w:color="auto" w:sz="12" w:space="0"/>
              <w:bottom w:val="single" w:color="auto" w:sz="4" w:space="0"/>
            </w:tcBorders>
            <w:vAlign w:val="center"/>
          </w:tcPr>
          <w:p w14:paraId="6D5A54F1">
            <w:pPr>
              <w:spacing w:before="200" w:after="200" w:line="276" w:lineRule="auto"/>
              <w:jc w:val="center"/>
              <w:rPr>
                <w:rFonts w:eastAsia="MS Mincho" w:cs="Times New Roman"/>
                <w:color w:val="auto"/>
                <w:sz w:val="20"/>
                <w:szCs w:val="20"/>
                <w:lang w:eastAsia="fr-FR"/>
              </w:rPr>
            </w:pPr>
          </w:p>
        </w:tc>
      </w:tr>
      <w:bookmarkEnd w:id="16"/>
    </w:tbl>
    <w:p w14:paraId="673A2506">
      <w:pPr>
        <w:rPr>
          <w:sz w:val="20"/>
          <w:szCs w:val="20"/>
        </w:rPr>
      </w:pPr>
    </w:p>
    <w:p w14:paraId="448D76D8">
      <w:pPr>
        <w:rPr>
          <w:sz w:val="18"/>
          <w:szCs w:val="18"/>
        </w:rPr>
      </w:pPr>
      <w:bookmarkStart w:id="17" w:name="_GoBack"/>
      <w:bookmarkEnd w:id="17"/>
    </w:p>
    <w:sectPr>
      <w:pgSz w:w="16838" w:h="11906" w:orient="landscape"/>
      <w:pgMar w:top="1440" w:right="1080" w:bottom="1440" w:left="1080" w:header="1128" w:footer="851"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rianne">
    <w:panose1 w:val="02000000000000000000"/>
    <w:charset w:val="00"/>
    <w:family w:val="modern"/>
    <w:pitch w:val="default"/>
    <w:sig w:usb0="0000000F" w:usb1="00000000" w:usb2="00000000" w:usb3="00000000" w:csb0="00000003" w:csb1="00000000"/>
  </w:font>
  <w:font w:name="Symbol">
    <w:panose1 w:val="05050102010706020507"/>
    <w:charset w:val="02"/>
    <w:family w:val="roman"/>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DEF0A">
    <w:pPr>
      <w:pStyle w:val="26"/>
      <w:tabs>
        <w:tab w:val="right" w:pos="9072"/>
      </w:tabs>
    </w:pPr>
    <w:r>
      <w:rPr>
        <w:rStyle w:val="46"/>
      </w:rPr>
      <w:t xml:space="preserve">IGN I </w:t>
    </w:r>
    <w:r>
      <w:t>Service des Achats et des Marchés-Prestation de formation</w:t>
    </w:r>
    <w:r>
      <w:rPr>
        <w:rFonts w:hint="default"/>
        <w:lang w:val="fr-FR"/>
      </w:rPr>
      <w:t xml:space="preserve"> Initiation à l’archivisme</w:t>
    </w:r>
    <w:r>
      <w:t xml:space="preserve"> - CCP-AE-GBM_2</w:t>
    </w:r>
    <w:r>
      <w:rPr>
        <w:rFonts w:hint="default"/>
        <w:lang w:val="fr-FR"/>
      </w:rPr>
      <w:t>6018</w:t>
    </w:r>
    <w:r>
      <w:t>-</w:t>
    </w:r>
    <w:r>
      <w:fldChar w:fldCharType="begin"/>
    </w:r>
    <w:r>
      <w:instrText xml:space="preserve"> PAGE   \* MERGEFORMAT </w:instrText>
    </w:r>
    <w:r>
      <w:fldChar w:fldCharType="separate"/>
    </w:r>
    <w:r>
      <w:t>1</w:t>
    </w:r>
    <w:r>
      <w:fldChar w:fldCharType="end"/>
    </w:r>
    <w:r>
      <w:t>/</w:t>
    </w:r>
    <w:r>
      <w:fldChar w:fldCharType="begin"/>
    </w:r>
    <w:r>
      <w:instrText xml:space="preserve"> NUMPAGES   \* MERGEFORMAT </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DEF0C">
    <w:pPr>
      <w:pStyle w:val="26"/>
      <w:tabs>
        <w:tab w:val="right" w:pos="9072"/>
        <w:tab w:val="clear" w:pos="9639"/>
      </w:tabs>
    </w:pPr>
    <w:r>
      <w:t>Arcep-Direction-référence de la note</w:t>
    </w:r>
    <w:r>
      <w:tab/>
    </w:r>
    <w:r>
      <w:fldChar w:fldCharType="begin"/>
    </w:r>
    <w:r>
      <w:instrText xml:space="preserve"> PAGE   \* MERGEFORMAT </w:instrText>
    </w:r>
    <w:r>
      <w:fldChar w:fldCharType="separate"/>
    </w:r>
    <w:r>
      <w:t>1</w:t>
    </w:r>
    <w:r>
      <w:fldChar w:fldCharType="end"/>
    </w:r>
    <w:r>
      <w:t>/</w:t>
    </w:r>
    <w:r>
      <w:fldChar w:fldCharType="begin"/>
    </w:r>
    <w:r>
      <w:instrText xml:space="preserve"> NUMPAGES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5BA9DA">
    <w:pPr>
      <w:pStyle w:val="27"/>
      <w:jc w:val="center"/>
    </w:pPr>
    <w:r>
      <w:rPr>
        <w:lang w:eastAsia="fr-FR"/>
      </w:rPr>
      <w:drawing>
        <wp:anchor distT="0" distB="0" distL="114300" distR="114300" simplePos="0" relativeHeight="251661312" behindDoc="0" locked="0" layoutInCell="1" allowOverlap="1">
          <wp:simplePos x="0" y="0"/>
          <wp:positionH relativeFrom="margin">
            <wp:posOffset>3462020</wp:posOffset>
          </wp:positionH>
          <wp:positionV relativeFrom="paragraph">
            <wp:posOffset>-581660</wp:posOffset>
          </wp:positionV>
          <wp:extent cx="1873885" cy="885825"/>
          <wp:effectExtent l="0" t="0" r="0" b="0"/>
          <wp:wrapNone/>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882086" cy="889541"/>
                  </a:xfrm>
                  <a:prstGeom prst="rect">
                    <a:avLst/>
                  </a:prstGeom>
                  <a:noFill/>
                  <a:ln>
                    <a:noFill/>
                  </a:ln>
                </pic:spPr>
              </pic:pic>
            </a:graphicData>
          </a:graphic>
        </wp:anchor>
      </w:drawing>
    </w:r>
    <w:r>
      <w:rPr>
        <w:lang w:eastAsia="fr-FR"/>
      </w:rPr>
      <w:drawing>
        <wp:anchor distT="0" distB="0" distL="114300" distR="114300" simplePos="0" relativeHeight="251659264" behindDoc="0" locked="0" layoutInCell="1" allowOverlap="1">
          <wp:simplePos x="0" y="0"/>
          <wp:positionH relativeFrom="margin">
            <wp:align>left</wp:align>
          </wp:positionH>
          <wp:positionV relativeFrom="paragraph">
            <wp:posOffset>-716915</wp:posOffset>
          </wp:positionV>
          <wp:extent cx="1357630" cy="1228725"/>
          <wp:effectExtent l="0" t="0" r="0" b="0"/>
          <wp:wrapTight wrapText="bothSides">
            <wp:wrapPolygon>
              <wp:start x="1819" y="2009"/>
              <wp:lineTo x="1819" y="19088"/>
              <wp:lineTo x="9396" y="19088"/>
              <wp:lineTo x="7880" y="13730"/>
              <wp:lineTo x="14851" y="13395"/>
              <wp:lineTo x="19398" y="11386"/>
              <wp:lineTo x="19701" y="7367"/>
              <wp:lineTo x="10002" y="2009"/>
              <wp:lineTo x="1819" y="2009"/>
            </wp:wrapPolygon>
          </wp:wrapTight>
          <wp:docPr id="1" name="Image 1" descr="Mac:Users:xavier.hasendahl:Desktop:ELEMENTS TEMPLATES SIG:LOGOS:REPUBLIQUE_FRANCAISE:eps:Republique_Francaise_CMJN.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Mac:Users:xavier.hasendahl:Desktop:ELEMENTS TEMPLATES SIG:LOGOS:REPUBLIQUE_FRANCAISE:eps:Republique_Francaise_CMJN.ep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357630" cy="1228725"/>
                  </a:xfrm>
                  <a:prstGeom prst="rect">
                    <a:avLst/>
                  </a:prstGeom>
                  <a:noFill/>
                  <a:ln>
                    <a:noFill/>
                  </a:ln>
                </pic:spPr>
              </pic:pic>
            </a:graphicData>
          </a:graphic>
        </wp:anchor>
      </w:drawing>
    </w:r>
  </w:p>
  <w:p w14:paraId="73A9812D">
    <w:pPr>
      <w:pStyle w:val="27"/>
      <w:jc w:val="center"/>
    </w:pPr>
  </w:p>
  <w:p w14:paraId="164DEF09">
    <w:pPr>
      <w:pStyle w:val="27"/>
      <w:jc w:val="center"/>
    </w:pPr>
    <w:r>
      <w:rPr>
        <w:lang w:eastAsia="fr-FR"/>
      </w:rPr>
      <mc:AlternateContent>
        <mc:Choice Requires="wps">
          <w:drawing>
            <wp:anchor distT="0" distB="0" distL="114300" distR="114300" simplePos="0" relativeHeight="251660288" behindDoc="0" locked="0" layoutInCell="1" allowOverlap="1">
              <wp:simplePos x="0" y="0"/>
              <wp:positionH relativeFrom="column">
                <wp:posOffset>6950075</wp:posOffset>
              </wp:positionH>
              <wp:positionV relativeFrom="paragraph">
                <wp:posOffset>15875</wp:posOffset>
              </wp:positionV>
              <wp:extent cx="643255" cy="600710"/>
              <wp:effectExtent l="6350" t="6350" r="7620" b="12065"/>
              <wp:wrapNone/>
              <wp:docPr id="6" name="Rectangle 6"/>
              <wp:cNvGraphicFramePr/>
              <a:graphic xmlns:a="http://schemas.openxmlformats.org/drawingml/2006/main">
                <a:graphicData uri="http://schemas.microsoft.com/office/word/2010/wordprocessingShape">
                  <wps:wsp>
                    <wps:cNvSpPr>
                      <a:spLocks noChangeArrowheads="1"/>
                    </wps:cNvSpPr>
                    <wps:spPr bwMode="auto">
                      <a:xfrm>
                        <a:off x="0" y="0"/>
                        <a:ext cx="643255" cy="60071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547.25pt;margin-top:1.25pt;height:47.3pt;width:50.65pt;z-index:251660288;mso-width-relative:page;mso-height-relative:page;" fillcolor="#FFFFFF" filled="t" stroked="t" coordsize="21600,21600" o:gfxdata="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CyeniNcAAAAKAQAADwAAAAAAAAABACAAAAAiAAAAZHJzL2Rvd25yZXYueG1sUEsBAhQAFAAA&#10;AAgAh07iQOj7FEwpAgAAcQQAAA4AAAAAAAAAAQAgAAAAJgEAAGRycy9lMm9Eb2MueG1sUEsFBgAA&#10;AAAGAAYAWQEAAMEFAAAAAA==&#10;">
              <v:fill on="t" focussize="0,0"/>
              <v:stroke color="#000000" miterlimit="8" joinstyle="miter"/>
              <v:imagedata o:title=""/>
              <o:lock v:ext="edit" aspectratio="f"/>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DEF0B">
    <w:pPr>
      <w:pStyle w:val="27"/>
      <w:tabs>
        <w:tab w:val="clear" w:pos="4513"/>
        <w:tab w:val="clear" w:pos="9026"/>
      </w:tabs>
      <w:jc w:val="center"/>
      <w:rPr>
        <w:rFonts w:cstheme="minorHAnsi"/>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DEF0D">
    <w:pPr>
      <w:pStyle w:val="2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73DEF9"/>
    <w:multiLevelType w:val="singleLevel"/>
    <w:tmpl w:val="9C73DEF9"/>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1">
    <w:nsid w:val="CD7716A5"/>
    <w:multiLevelType w:val="singleLevel"/>
    <w:tmpl w:val="CD7716A5"/>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2">
    <w:nsid w:val="D0A501EF"/>
    <w:multiLevelType w:val="singleLevel"/>
    <w:tmpl w:val="D0A501EF"/>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3">
    <w:nsid w:val="DD4ECB6E"/>
    <w:multiLevelType w:val="singleLevel"/>
    <w:tmpl w:val="DD4ECB6E"/>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4">
    <w:nsid w:val="E1A7E1FB"/>
    <w:multiLevelType w:val="singleLevel"/>
    <w:tmpl w:val="E1A7E1FB"/>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5">
    <w:nsid w:val="E1EDC900"/>
    <w:multiLevelType w:val="singleLevel"/>
    <w:tmpl w:val="E1EDC900"/>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6">
    <w:nsid w:val="F6346BFA"/>
    <w:multiLevelType w:val="singleLevel"/>
    <w:tmpl w:val="F6346BFA"/>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7">
    <w:nsid w:val="FC58ED1A"/>
    <w:multiLevelType w:val="singleLevel"/>
    <w:tmpl w:val="FC58ED1A"/>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8">
    <w:nsid w:val="0343AF17"/>
    <w:multiLevelType w:val="singleLevel"/>
    <w:tmpl w:val="0343AF17"/>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9">
    <w:nsid w:val="080437E4"/>
    <w:multiLevelType w:val="multilevel"/>
    <w:tmpl w:val="080437E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15BD1A02"/>
    <w:multiLevelType w:val="multilevel"/>
    <w:tmpl w:val="15BD1A0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1F511142"/>
    <w:multiLevelType w:val="multilevel"/>
    <w:tmpl w:val="1F511142"/>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796" w:hanging="576"/>
      </w:pPr>
      <w:rPr>
        <w:rFonts w:hint="default"/>
      </w:rPr>
    </w:lvl>
    <w:lvl w:ilvl="2" w:tentative="0">
      <w:start w:val="1"/>
      <w:numFmt w:val="decimal"/>
      <w:pStyle w:val="4"/>
      <w:lvlText w:val="%1.%2.%3"/>
      <w:lvlJc w:val="left"/>
      <w:pPr>
        <w:ind w:left="1021" w:hanging="1021"/>
      </w:pPr>
      <w:rPr>
        <w:rFonts w:hint="default"/>
        <w:b w:val="0"/>
        <w:bCs w:val="0"/>
        <w:i w:val="0"/>
        <w:iCs w:val="0"/>
        <w:caps w:val="0"/>
        <w:smallCaps w:val="0"/>
        <w:strike w:val="0"/>
        <w:dstrike w:val="0"/>
        <w:vanish w:val="0"/>
        <w:color w:val="232253" w:themeColor="text2"/>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Fill>
          <w14:solidFill>
            <w14:schemeClr w14:val="tx2"/>
          </w14:solidFill>
        </w14:textFill>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lowerLetter"/>
      <w:pStyle w:val="5"/>
      <w:lvlText w:val="%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2" w:hanging="1152"/>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4" w:hanging="1584"/>
      </w:pPr>
      <w:rPr>
        <w:rFonts w:hint="default"/>
      </w:rPr>
    </w:lvl>
  </w:abstractNum>
  <w:abstractNum w:abstractNumId="12">
    <w:nsid w:val="21D34A54"/>
    <w:multiLevelType w:val="multilevel"/>
    <w:tmpl w:val="21D34A54"/>
    <w:lvl w:ilvl="0" w:tentative="0">
      <w:start w:val="101"/>
      <w:numFmt w:val="bullet"/>
      <w:pStyle w:val="31"/>
      <w:lvlText w:val="-"/>
      <w:lvlJc w:val="left"/>
      <w:pPr>
        <w:ind w:left="720" w:hanging="360"/>
      </w:pPr>
      <w:rPr>
        <w:rFonts w:hint="default" w:cs="Times New Roman" w:asciiTheme="minorHAnsi" w:hAnsiTheme="minorHAnsi"/>
        <w:color w:val="232253" w:themeColor="text2"/>
        <w14:textFill>
          <w14:solidFill>
            <w14:schemeClr w14:val="tx2"/>
          </w14:solidFill>
        </w14:textFil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280156E2"/>
    <w:multiLevelType w:val="multilevel"/>
    <w:tmpl w:val="280156E2"/>
    <w:lvl w:ilvl="0" w:tentative="0">
      <w:start w:val="1"/>
      <w:numFmt w:val="decimal"/>
      <w:pStyle w:val="23"/>
      <w:lvlText w:val="%1."/>
      <w:lvlJc w:val="left"/>
      <w:pPr>
        <w:tabs>
          <w:tab w:val="left" w:pos="567"/>
        </w:tabs>
        <w:ind w:left="567" w:hanging="283"/>
      </w:pPr>
      <w:rPr>
        <w:rFonts w:hint="default"/>
        <w:color w:val="232253" w:themeColor="text2"/>
        <w14:textFill>
          <w14:solidFill>
            <w14:schemeClr w14:val="tx2"/>
          </w14:solidFill>
        </w14:textFill>
      </w:rPr>
    </w:lvl>
    <w:lvl w:ilvl="1" w:tentative="0">
      <w:start w:val="1"/>
      <w:numFmt w:val="lowerLetter"/>
      <w:lvlText w:val="%2."/>
      <w:lvlJc w:val="left"/>
      <w:pPr>
        <w:tabs>
          <w:tab w:val="left" w:pos="851"/>
        </w:tabs>
        <w:ind w:left="851" w:hanging="284"/>
      </w:pPr>
      <w:rPr>
        <w:rFonts w:hint="default"/>
        <w:color w:val="5A58BA" w:themeColor="text2" w:themeTint="99"/>
        <w14:textFill>
          <w14:solidFill>
            <w14:schemeClr w14:val="tx2">
              <w14:lumMod w14:val="60000"/>
              <w14:lumOff w14:val="40000"/>
            </w14:schemeClr>
          </w14:solidFill>
        </w14:textFill>
      </w:rPr>
    </w:lvl>
    <w:lvl w:ilvl="2" w:tentative="0">
      <w:start w:val="1"/>
      <w:numFmt w:val="lowerLetter"/>
      <w:lvlText w:val="(%3)"/>
      <w:lvlJc w:val="left"/>
      <w:pPr>
        <w:ind w:left="908" w:hanging="170"/>
      </w:pPr>
      <w:rPr>
        <w:rFonts w:hint="default"/>
      </w:rPr>
    </w:lvl>
    <w:lvl w:ilvl="3" w:tentative="0">
      <w:start w:val="1"/>
      <w:numFmt w:val="lowerRoman"/>
      <w:lvlText w:val="(%4)"/>
      <w:lvlJc w:val="right"/>
      <w:pPr>
        <w:ind w:left="1135" w:hanging="170"/>
      </w:pPr>
      <w:rPr>
        <w:rFonts w:hint="default"/>
      </w:rPr>
    </w:lvl>
    <w:lvl w:ilvl="4" w:tentative="0">
      <w:start w:val="1"/>
      <w:numFmt w:val="decimal"/>
      <w:lvlText w:val="%5)"/>
      <w:lvlJc w:val="left"/>
      <w:pPr>
        <w:ind w:left="1362" w:hanging="170"/>
      </w:pPr>
      <w:rPr>
        <w:rFonts w:hint="default"/>
      </w:rPr>
    </w:lvl>
    <w:lvl w:ilvl="5" w:tentative="0">
      <w:start w:val="1"/>
      <w:numFmt w:val="lowerLetter"/>
      <w:lvlText w:val="%6)"/>
      <w:lvlJc w:val="left"/>
      <w:pPr>
        <w:ind w:left="1589" w:hanging="170"/>
      </w:pPr>
      <w:rPr>
        <w:rFonts w:hint="default"/>
      </w:rPr>
    </w:lvl>
    <w:lvl w:ilvl="6" w:tentative="0">
      <w:start w:val="1"/>
      <w:numFmt w:val="lowerRoman"/>
      <w:lvlText w:val="%7)"/>
      <w:lvlJc w:val="right"/>
      <w:pPr>
        <w:ind w:left="1816" w:hanging="170"/>
      </w:pPr>
      <w:rPr>
        <w:rFonts w:hint="default"/>
      </w:rPr>
    </w:lvl>
    <w:lvl w:ilvl="7" w:tentative="0">
      <w:start w:val="1"/>
      <w:numFmt w:val="lowerLetter"/>
      <w:lvlText w:val="%8."/>
      <w:lvlJc w:val="left"/>
      <w:pPr>
        <w:ind w:left="2043" w:hanging="170"/>
      </w:pPr>
      <w:rPr>
        <w:rFonts w:hint="default"/>
      </w:rPr>
    </w:lvl>
    <w:lvl w:ilvl="8" w:tentative="0">
      <w:start w:val="1"/>
      <w:numFmt w:val="lowerRoman"/>
      <w:lvlText w:val="%9."/>
      <w:lvlJc w:val="right"/>
      <w:pPr>
        <w:ind w:left="2270" w:hanging="170"/>
      </w:pPr>
      <w:rPr>
        <w:rFonts w:hint="default"/>
      </w:rPr>
    </w:lvl>
  </w:abstractNum>
  <w:abstractNum w:abstractNumId="14">
    <w:nsid w:val="3877A1CD"/>
    <w:multiLevelType w:val="singleLevel"/>
    <w:tmpl w:val="3877A1CD"/>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5">
    <w:nsid w:val="4291CD33"/>
    <w:multiLevelType w:val="singleLevel"/>
    <w:tmpl w:val="4291CD33"/>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6">
    <w:nsid w:val="42C5492E"/>
    <w:multiLevelType w:val="multilevel"/>
    <w:tmpl w:val="42C5492E"/>
    <w:lvl w:ilvl="0" w:tentative="0">
      <w:start w:val="1"/>
      <w:numFmt w:val="decimal"/>
      <w:lvlText w:val="%1."/>
      <w:lvlJc w:val="left"/>
      <w:pPr>
        <w:tabs>
          <w:tab w:val="left" w:pos="567"/>
        </w:tabs>
        <w:ind w:left="567" w:hanging="283"/>
      </w:pPr>
      <w:rPr>
        <w:rFonts w:hint="default"/>
      </w:rPr>
    </w:lvl>
    <w:lvl w:ilvl="1" w:tentative="0">
      <w:start w:val="1"/>
      <w:numFmt w:val="lowerLetter"/>
      <w:pStyle w:val="28"/>
      <w:lvlText w:val="%2."/>
      <w:lvlJc w:val="left"/>
      <w:pPr>
        <w:tabs>
          <w:tab w:val="left" w:pos="851"/>
        </w:tabs>
        <w:ind w:left="851" w:hanging="284"/>
      </w:pPr>
      <w:rPr>
        <w:rFonts w:hint="default"/>
        <w:color w:val="232253" w:themeColor="text2"/>
        <w14:textFill>
          <w14:solidFill>
            <w14:schemeClr w14:val="tx2"/>
          </w14:solidFill>
        </w14:textFill>
      </w:rPr>
    </w:lvl>
    <w:lvl w:ilvl="2" w:tentative="0">
      <w:start w:val="1"/>
      <w:numFmt w:val="lowerLetter"/>
      <w:lvlText w:val="(%3)"/>
      <w:lvlJc w:val="left"/>
      <w:pPr>
        <w:ind w:left="908" w:hanging="170"/>
      </w:pPr>
      <w:rPr>
        <w:rFonts w:hint="default"/>
      </w:rPr>
    </w:lvl>
    <w:lvl w:ilvl="3" w:tentative="0">
      <w:start w:val="1"/>
      <w:numFmt w:val="lowerRoman"/>
      <w:lvlText w:val="(%4)"/>
      <w:lvlJc w:val="right"/>
      <w:pPr>
        <w:ind w:left="1135" w:hanging="170"/>
      </w:pPr>
      <w:rPr>
        <w:rFonts w:hint="default"/>
      </w:rPr>
    </w:lvl>
    <w:lvl w:ilvl="4" w:tentative="0">
      <w:start w:val="1"/>
      <w:numFmt w:val="decimal"/>
      <w:lvlText w:val="%5)"/>
      <w:lvlJc w:val="left"/>
      <w:pPr>
        <w:ind w:left="1362" w:hanging="170"/>
      </w:pPr>
      <w:rPr>
        <w:rFonts w:hint="default"/>
      </w:rPr>
    </w:lvl>
    <w:lvl w:ilvl="5" w:tentative="0">
      <w:start w:val="1"/>
      <w:numFmt w:val="lowerLetter"/>
      <w:lvlText w:val="%6)"/>
      <w:lvlJc w:val="left"/>
      <w:pPr>
        <w:ind w:left="1589" w:hanging="170"/>
      </w:pPr>
      <w:rPr>
        <w:rFonts w:hint="default"/>
      </w:rPr>
    </w:lvl>
    <w:lvl w:ilvl="6" w:tentative="0">
      <w:start w:val="1"/>
      <w:numFmt w:val="lowerRoman"/>
      <w:lvlText w:val="%7)"/>
      <w:lvlJc w:val="right"/>
      <w:pPr>
        <w:ind w:left="1816" w:hanging="170"/>
      </w:pPr>
      <w:rPr>
        <w:rFonts w:hint="default"/>
      </w:rPr>
    </w:lvl>
    <w:lvl w:ilvl="7" w:tentative="0">
      <w:start w:val="1"/>
      <w:numFmt w:val="lowerLetter"/>
      <w:lvlText w:val="%8."/>
      <w:lvlJc w:val="left"/>
      <w:pPr>
        <w:ind w:left="2043" w:hanging="170"/>
      </w:pPr>
      <w:rPr>
        <w:rFonts w:hint="default"/>
      </w:rPr>
    </w:lvl>
    <w:lvl w:ilvl="8" w:tentative="0">
      <w:start w:val="1"/>
      <w:numFmt w:val="lowerRoman"/>
      <w:lvlText w:val="%9."/>
      <w:lvlJc w:val="right"/>
      <w:pPr>
        <w:ind w:left="2270" w:hanging="170"/>
      </w:pPr>
      <w:rPr>
        <w:rFonts w:hint="default"/>
      </w:rPr>
    </w:lvl>
  </w:abstractNum>
  <w:abstractNum w:abstractNumId="17">
    <w:nsid w:val="50604B5D"/>
    <w:multiLevelType w:val="multilevel"/>
    <w:tmpl w:val="50604B5D"/>
    <w:lvl w:ilvl="0" w:tentative="0">
      <w:start w:val="1"/>
      <w:numFmt w:val="decimal"/>
      <w:pStyle w:val="36"/>
      <w:lvlText w:val="Article %1."/>
      <w:lvlJc w:val="left"/>
      <w:pPr>
        <w:ind w:left="720" w:hanging="360"/>
      </w:pPr>
      <w:rPr>
        <w:rFonts w:hint="default"/>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607368FD"/>
    <w:multiLevelType w:val="multilevel"/>
    <w:tmpl w:val="607368FD"/>
    <w:lvl w:ilvl="0" w:tentative="0">
      <w:start w:val="101"/>
      <w:numFmt w:val="bullet"/>
      <w:pStyle w:val="18"/>
      <w:lvlText w:val="-"/>
      <w:lvlJc w:val="left"/>
      <w:pPr>
        <w:ind w:left="1852" w:hanging="360"/>
      </w:pPr>
      <w:rPr>
        <w:rFonts w:hint="default" w:cs="Times New Roman" w:asciiTheme="minorHAnsi" w:hAnsiTheme="minorHAnsi"/>
        <w:color w:val="232253" w:themeColor="text2"/>
        <w14:textFill>
          <w14:solidFill>
            <w14:schemeClr w14:val="tx2"/>
          </w14:solidFill>
        </w14:textFill>
      </w:rPr>
    </w:lvl>
    <w:lvl w:ilvl="1" w:tentative="0">
      <w:start w:val="1"/>
      <w:numFmt w:val="bullet"/>
      <w:lvlText w:val="o"/>
      <w:lvlJc w:val="left"/>
      <w:pPr>
        <w:ind w:left="2572" w:hanging="360"/>
      </w:pPr>
      <w:rPr>
        <w:rFonts w:hint="default" w:ascii="Courier New" w:hAnsi="Courier New" w:cs="Courier New"/>
      </w:rPr>
    </w:lvl>
    <w:lvl w:ilvl="2" w:tentative="0">
      <w:start w:val="1"/>
      <w:numFmt w:val="bullet"/>
      <w:lvlText w:val=""/>
      <w:lvlJc w:val="left"/>
      <w:pPr>
        <w:ind w:left="3292" w:hanging="360"/>
      </w:pPr>
      <w:rPr>
        <w:rFonts w:hint="default" w:ascii="Wingdings" w:hAnsi="Wingdings"/>
      </w:rPr>
    </w:lvl>
    <w:lvl w:ilvl="3" w:tentative="0">
      <w:start w:val="1"/>
      <w:numFmt w:val="bullet"/>
      <w:lvlText w:val=""/>
      <w:lvlJc w:val="left"/>
      <w:pPr>
        <w:ind w:left="4012" w:hanging="360"/>
      </w:pPr>
      <w:rPr>
        <w:rFonts w:hint="default" w:ascii="Symbol" w:hAnsi="Symbol"/>
      </w:rPr>
    </w:lvl>
    <w:lvl w:ilvl="4" w:tentative="0">
      <w:start w:val="1"/>
      <w:numFmt w:val="bullet"/>
      <w:lvlText w:val="o"/>
      <w:lvlJc w:val="left"/>
      <w:pPr>
        <w:ind w:left="4732" w:hanging="360"/>
      </w:pPr>
      <w:rPr>
        <w:rFonts w:hint="default" w:ascii="Courier New" w:hAnsi="Courier New" w:cs="Courier New"/>
      </w:rPr>
    </w:lvl>
    <w:lvl w:ilvl="5" w:tentative="0">
      <w:start w:val="1"/>
      <w:numFmt w:val="bullet"/>
      <w:lvlText w:val=""/>
      <w:lvlJc w:val="left"/>
      <w:pPr>
        <w:ind w:left="5452" w:hanging="360"/>
      </w:pPr>
      <w:rPr>
        <w:rFonts w:hint="default" w:ascii="Wingdings" w:hAnsi="Wingdings"/>
      </w:rPr>
    </w:lvl>
    <w:lvl w:ilvl="6" w:tentative="0">
      <w:start w:val="1"/>
      <w:numFmt w:val="bullet"/>
      <w:lvlText w:val=""/>
      <w:lvlJc w:val="left"/>
      <w:pPr>
        <w:ind w:left="6172" w:hanging="360"/>
      </w:pPr>
      <w:rPr>
        <w:rFonts w:hint="default" w:ascii="Symbol" w:hAnsi="Symbol"/>
      </w:rPr>
    </w:lvl>
    <w:lvl w:ilvl="7" w:tentative="0">
      <w:start w:val="1"/>
      <w:numFmt w:val="bullet"/>
      <w:lvlText w:val="o"/>
      <w:lvlJc w:val="left"/>
      <w:pPr>
        <w:ind w:left="6892" w:hanging="360"/>
      </w:pPr>
      <w:rPr>
        <w:rFonts w:hint="default" w:ascii="Courier New" w:hAnsi="Courier New" w:cs="Courier New"/>
      </w:rPr>
    </w:lvl>
    <w:lvl w:ilvl="8" w:tentative="0">
      <w:start w:val="1"/>
      <w:numFmt w:val="bullet"/>
      <w:lvlText w:val=""/>
      <w:lvlJc w:val="left"/>
      <w:pPr>
        <w:ind w:left="7612" w:hanging="360"/>
      </w:pPr>
      <w:rPr>
        <w:rFonts w:hint="default" w:ascii="Wingdings" w:hAnsi="Wingdings"/>
      </w:rPr>
    </w:lvl>
  </w:abstractNum>
  <w:abstractNum w:abstractNumId="19">
    <w:nsid w:val="6B34B34E"/>
    <w:multiLevelType w:val="singleLevel"/>
    <w:tmpl w:val="6B34B34E"/>
    <w:lvl w:ilvl="0" w:tentative="0">
      <w:start w:val="1"/>
      <w:numFmt w:val="decimal"/>
      <w:lvlText w:val="%1."/>
      <w:lvlJc w:val="left"/>
      <w:pPr>
        <w:tabs>
          <w:tab w:val="left" w:pos="425"/>
        </w:tabs>
        <w:ind w:left="425" w:leftChars="0" w:hanging="425" w:firstLineChars="0"/>
      </w:pPr>
      <w:rPr>
        <w:rFonts w:hint="default"/>
      </w:rPr>
    </w:lvl>
  </w:abstractNum>
  <w:abstractNum w:abstractNumId="20">
    <w:nsid w:val="6CAC5430"/>
    <w:multiLevelType w:val="multilevel"/>
    <w:tmpl w:val="6CAC5430"/>
    <w:lvl w:ilvl="0" w:tentative="0">
      <w:start w:val="1"/>
      <w:numFmt w:val="bullet"/>
      <w:pStyle w:val="17"/>
      <w:lvlText w:val=""/>
      <w:lvlJc w:val="left"/>
      <w:pPr>
        <w:ind w:left="1353" w:hanging="360"/>
      </w:pPr>
      <w:rPr>
        <w:rFonts w:hint="default" w:ascii="Wingdings" w:hAnsi="Wingdings"/>
        <w:color w:val="232253" w:themeColor="text2"/>
        <w:sz w:val="16"/>
        <w14:textFill>
          <w14:solidFill>
            <w14:schemeClr w14:val="tx2"/>
          </w14:solidFill>
        </w14:textFill>
      </w:rPr>
    </w:lvl>
    <w:lvl w:ilvl="1" w:tentative="0">
      <w:start w:val="1"/>
      <w:numFmt w:val="bullet"/>
      <w:lvlText w:val="o"/>
      <w:lvlJc w:val="left"/>
      <w:pPr>
        <w:ind w:left="2073" w:hanging="360"/>
      </w:pPr>
      <w:rPr>
        <w:rFonts w:hint="default" w:ascii="Courier New" w:hAnsi="Courier New" w:cs="Courier New"/>
      </w:rPr>
    </w:lvl>
    <w:lvl w:ilvl="2" w:tentative="0">
      <w:start w:val="1"/>
      <w:numFmt w:val="bullet"/>
      <w:lvlText w:val=""/>
      <w:lvlJc w:val="left"/>
      <w:pPr>
        <w:ind w:left="2793" w:hanging="360"/>
      </w:pPr>
      <w:rPr>
        <w:rFonts w:hint="default" w:ascii="Wingdings" w:hAnsi="Wingdings"/>
      </w:rPr>
    </w:lvl>
    <w:lvl w:ilvl="3" w:tentative="0">
      <w:start w:val="1"/>
      <w:numFmt w:val="bullet"/>
      <w:lvlText w:val=""/>
      <w:lvlJc w:val="left"/>
      <w:pPr>
        <w:ind w:left="3513" w:hanging="360"/>
      </w:pPr>
      <w:rPr>
        <w:rFonts w:hint="default" w:ascii="Symbol" w:hAnsi="Symbol"/>
      </w:rPr>
    </w:lvl>
    <w:lvl w:ilvl="4" w:tentative="0">
      <w:start w:val="1"/>
      <w:numFmt w:val="bullet"/>
      <w:lvlText w:val="o"/>
      <w:lvlJc w:val="left"/>
      <w:pPr>
        <w:ind w:left="4233" w:hanging="360"/>
      </w:pPr>
      <w:rPr>
        <w:rFonts w:hint="default" w:ascii="Courier New" w:hAnsi="Courier New" w:cs="Courier New"/>
      </w:rPr>
    </w:lvl>
    <w:lvl w:ilvl="5" w:tentative="0">
      <w:start w:val="1"/>
      <w:numFmt w:val="bullet"/>
      <w:lvlText w:val=""/>
      <w:lvlJc w:val="left"/>
      <w:pPr>
        <w:ind w:left="4953" w:hanging="360"/>
      </w:pPr>
      <w:rPr>
        <w:rFonts w:hint="default" w:ascii="Wingdings" w:hAnsi="Wingdings"/>
      </w:rPr>
    </w:lvl>
    <w:lvl w:ilvl="6" w:tentative="0">
      <w:start w:val="1"/>
      <w:numFmt w:val="bullet"/>
      <w:lvlText w:val=""/>
      <w:lvlJc w:val="left"/>
      <w:pPr>
        <w:ind w:left="5673" w:hanging="360"/>
      </w:pPr>
      <w:rPr>
        <w:rFonts w:hint="default" w:ascii="Symbol" w:hAnsi="Symbol"/>
      </w:rPr>
    </w:lvl>
    <w:lvl w:ilvl="7" w:tentative="0">
      <w:start w:val="1"/>
      <w:numFmt w:val="bullet"/>
      <w:lvlText w:val="o"/>
      <w:lvlJc w:val="left"/>
      <w:pPr>
        <w:ind w:left="6393" w:hanging="360"/>
      </w:pPr>
      <w:rPr>
        <w:rFonts w:hint="default" w:ascii="Courier New" w:hAnsi="Courier New" w:cs="Courier New"/>
      </w:rPr>
    </w:lvl>
    <w:lvl w:ilvl="8" w:tentative="0">
      <w:start w:val="1"/>
      <w:numFmt w:val="bullet"/>
      <w:lvlText w:val=""/>
      <w:lvlJc w:val="left"/>
      <w:pPr>
        <w:ind w:left="7113" w:hanging="360"/>
      </w:pPr>
      <w:rPr>
        <w:rFonts w:hint="default" w:ascii="Wingdings" w:hAnsi="Wingdings"/>
      </w:rPr>
    </w:lvl>
  </w:abstractNum>
  <w:num w:numId="1">
    <w:abstractNumId w:val="11"/>
  </w:num>
  <w:num w:numId="2">
    <w:abstractNumId w:val="20"/>
  </w:num>
  <w:num w:numId="3">
    <w:abstractNumId w:val="18"/>
  </w:num>
  <w:num w:numId="4">
    <w:abstractNumId w:val="13"/>
  </w:num>
  <w:num w:numId="5">
    <w:abstractNumId w:val="16"/>
  </w:num>
  <w:num w:numId="6">
    <w:abstractNumId w:val="12"/>
  </w:num>
  <w:num w:numId="7">
    <w:abstractNumId w:val="17"/>
  </w:num>
  <w:num w:numId="8">
    <w:abstractNumId w:val="19"/>
  </w:num>
  <w:num w:numId="9">
    <w:abstractNumId w:val="14"/>
  </w:num>
  <w:num w:numId="10">
    <w:abstractNumId w:val="6"/>
  </w:num>
  <w:num w:numId="11">
    <w:abstractNumId w:val="5"/>
  </w:num>
  <w:num w:numId="12">
    <w:abstractNumId w:val="3"/>
  </w:num>
  <w:num w:numId="13">
    <w:abstractNumId w:val="7"/>
  </w:num>
  <w:num w:numId="14">
    <w:abstractNumId w:val="2"/>
  </w:num>
  <w:num w:numId="15">
    <w:abstractNumId w:val="1"/>
  </w:num>
  <w:num w:numId="16">
    <w:abstractNumId w:val="4"/>
  </w:num>
  <w:num w:numId="17">
    <w:abstractNumId w:val="0"/>
  </w:num>
  <w:num w:numId="18">
    <w:abstractNumId w:val="15"/>
  </w:num>
  <w:num w:numId="19">
    <w:abstractNumId w:val="8"/>
  </w:num>
  <w:num w:numId="20">
    <w:abstractNumId w:val="9"/>
  </w:num>
  <w:num w:numId="21">
    <w:abstractNumId w:val="10"/>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attachedTemplate r:id="rId1"/>
  <w:documentProtection w:enforcement="0"/>
  <w:defaultTabStop w:val="708"/>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7616"/>
    <w:rsid w:val="000034A0"/>
    <w:rsid w:val="0002063F"/>
    <w:rsid w:val="000260DC"/>
    <w:rsid w:val="00027AFD"/>
    <w:rsid w:val="000340BB"/>
    <w:rsid w:val="000365DC"/>
    <w:rsid w:val="000554E2"/>
    <w:rsid w:val="00055F8C"/>
    <w:rsid w:val="000818B3"/>
    <w:rsid w:val="0009122A"/>
    <w:rsid w:val="00093222"/>
    <w:rsid w:val="00094983"/>
    <w:rsid w:val="000951F8"/>
    <w:rsid w:val="000A2368"/>
    <w:rsid w:val="000B3978"/>
    <w:rsid w:val="000B4E1F"/>
    <w:rsid w:val="000B6B46"/>
    <w:rsid w:val="000C2EA9"/>
    <w:rsid w:val="000C7AD3"/>
    <w:rsid w:val="000D0586"/>
    <w:rsid w:val="000D4E65"/>
    <w:rsid w:val="000E2741"/>
    <w:rsid w:val="000E4868"/>
    <w:rsid w:val="000F0B22"/>
    <w:rsid w:val="000F310C"/>
    <w:rsid w:val="000F4D7E"/>
    <w:rsid w:val="000F7866"/>
    <w:rsid w:val="00106299"/>
    <w:rsid w:val="00111B98"/>
    <w:rsid w:val="00114B97"/>
    <w:rsid w:val="00117EA9"/>
    <w:rsid w:val="001217C3"/>
    <w:rsid w:val="00125502"/>
    <w:rsid w:val="00131C59"/>
    <w:rsid w:val="001357A6"/>
    <w:rsid w:val="00136FCA"/>
    <w:rsid w:val="0014322C"/>
    <w:rsid w:val="00152FF0"/>
    <w:rsid w:val="0015601B"/>
    <w:rsid w:val="00161129"/>
    <w:rsid w:val="00163764"/>
    <w:rsid w:val="00164042"/>
    <w:rsid w:val="001702C1"/>
    <w:rsid w:val="00170382"/>
    <w:rsid w:val="0017559C"/>
    <w:rsid w:val="00177BF0"/>
    <w:rsid w:val="00183847"/>
    <w:rsid w:val="001A3E94"/>
    <w:rsid w:val="001B499D"/>
    <w:rsid w:val="001B58F1"/>
    <w:rsid w:val="001C09F2"/>
    <w:rsid w:val="001C44BE"/>
    <w:rsid w:val="001C6F0C"/>
    <w:rsid w:val="001D3C9F"/>
    <w:rsid w:val="001D610A"/>
    <w:rsid w:val="001E296D"/>
    <w:rsid w:val="001E5E84"/>
    <w:rsid w:val="001F36A6"/>
    <w:rsid w:val="001F691B"/>
    <w:rsid w:val="0020115C"/>
    <w:rsid w:val="00206E9F"/>
    <w:rsid w:val="0020741E"/>
    <w:rsid w:val="0021350A"/>
    <w:rsid w:val="002238D5"/>
    <w:rsid w:val="002240C8"/>
    <w:rsid w:val="00235163"/>
    <w:rsid w:val="002412E7"/>
    <w:rsid w:val="00261A57"/>
    <w:rsid w:val="002625F0"/>
    <w:rsid w:val="0026271F"/>
    <w:rsid w:val="00271015"/>
    <w:rsid w:val="00284ABB"/>
    <w:rsid w:val="0028555C"/>
    <w:rsid w:val="0029441C"/>
    <w:rsid w:val="002A37B0"/>
    <w:rsid w:val="002A6297"/>
    <w:rsid w:val="002B1F21"/>
    <w:rsid w:val="002C71AC"/>
    <w:rsid w:val="002D0AB0"/>
    <w:rsid w:val="002D2CAD"/>
    <w:rsid w:val="002D4C9C"/>
    <w:rsid w:val="002E03E6"/>
    <w:rsid w:val="002E4781"/>
    <w:rsid w:val="002E5DA4"/>
    <w:rsid w:val="002F077C"/>
    <w:rsid w:val="002F0880"/>
    <w:rsid w:val="002F4215"/>
    <w:rsid w:val="002F43D6"/>
    <w:rsid w:val="002F514C"/>
    <w:rsid w:val="003052EB"/>
    <w:rsid w:val="00310E33"/>
    <w:rsid w:val="00320C6C"/>
    <w:rsid w:val="00332005"/>
    <w:rsid w:val="003338E3"/>
    <w:rsid w:val="003412BB"/>
    <w:rsid w:val="00355280"/>
    <w:rsid w:val="00367C43"/>
    <w:rsid w:val="00375E2A"/>
    <w:rsid w:val="0037674B"/>
    <w:rsid w:val="00385DF5"/>
    <w:rsid w:val="00397A0F"/>
    <w:rsid w:val="003A1E6B"/>
    <w:rsid w:val="003B0969"/>
    <w:rsid w:val="003B1132"/>
    <w:rsid w:val="003B1F7C"/>
    <w:rsid w:val="003B2063"/>
    <w:rsid w:val="003E7DDC"/>
    <w:rsid w:val="003F01CD"/>
    <w:rsid w:val="003F1F4A"/>
    <w:rsid w:val="003F29A2"/>
    <w:rsid w:val="003F39CC"/>
    <w:rsid w:val="003F473F"/>
    <w:rsid w:val="00410E9F"/>
    <w:rsid w:val="00417039"/>
    <w:rsid w:val="00440D7B"/>
    <w:rsid w:val="00441B27"/>
    <w:rsid w:val="00442BEA"/>
    <w:rsid w:val="00447F82"/>
    <w:rsid w:val="00457098"/>
    <w:rsid w:val="004603BA"/>
    <w:rsid w:val="0046072B"/>
    <w:rsid w:val="00476D8A"/>
    <w:rsid w:val="004971F2"/>
    <w:rsid w:val="004A158B"/>
    <w:rsid w:val="004A1B81"/>
    <w:rsid w:val="004A6DA9"/>
    <w:rsid w:val="004B39AF"/>
    <w:rsid w:val="004C0954"/>
    <w:rsid w:val="004C24BB"/>
    <w:rsid w:val="004D22A4"/>
    <w:rsid w:val="004D4069"/>
    <w:rsid w:val="004D719B"/>
    <w:rsid w:val="004E2CD9"/>
    <w:rsid w:val="004E6690"/>
    <w:rsid w:val="005024D1"/>
    <w:rsid w:val="00506D77"/>
    <w:rsid w:val="0051541A"/>
    <w:rsid w:val="00520ADE"/>
    <w:rsid w:val="00522A8C"/>
    <w:rsid w:val="00542025"/>
    <w:rsid w:val="00583195"/>
    <w:rsid w:val="00597A44"/>
    <w:rsid w:val="005A550E"/>
    <w:rsid w:val="005B5858"/>
    <w:rsid w:val="005D185B"/>
    <w:rsid w:val="005D1C95"/>
    <w:rsid w:val="005D7616"/>
    <w:rsid w:val="005D789E"/>
    <w:rsid w:val="005D7DFB"/>
    <w:rsid w:val="005E02E2"/>
    <w:rsid w:val="005E6217"/>
    <w:rsid w:val="005F5154"/>
    <w:rsid w:val="00602789"/>
    <w:rsid w:val="00604C65"/>
    <w:rsid w:val="006148EA"/>
    <w:rsid w:val="0062121C"/>
    <w:rsid w:val="00625D24"/>
    <w:rsid w:val="0063168F"/>
    <w:rsid w:val="00635794"/>
    <w:rsid w:val="00637E88"/>
    <w:rsid w:val="0064069D"/>
    <w:rsid w:val="00642401"/>
    <w:rsid w:val="00657A81"/>
    <w:rsid w:val="0066113B"/>
    <w:rsid w:val="006706D0"/>
    <w:rsid w:val="00670DFA"/>
    <w:rsid w:val="00677172"/>
    <w:rsid w:val="006853FE"/>
    <w:rsid w:val="00695F66"/>
    <w:rsid w:val="006A24A2"/>
    <w:rsid w:val="006B3ECA"/>
    <w:rsid w:val="006B7DD0"/>
    <w:rsid w:val="006E31CE"/>
    <w:rsid w:val="006E631B"/>
    <w:rsid w:val="006E7A02"/>
    <w:rsid w:val="006F3324"/>
    <w:rsid w:val="006F5701"/>
    <w:rsid w:val="007011CC"/>
    <w:rsid w:val="00703A1A"/>
    <w:rsid w:val="00710122"/>
    <w:rsid w:val="007117D1"/>
    <w:rsid w:val="00733A89"/>
    <w:rsid w:val="00736BC6"/>
    <w:rsid w:val="00741F9A"/>
    <w:rsid w:val="00755B80"/>
    <w:rsid w:val="0076067A"/>
    <w:rsid w:val="00771A3F"/>
    <w:rsid w:val="00774B01"/>
    <w:rsid w:val="0079138B"/>
    <w:rsid w:val="00794423"/>
    <w:rsid w:val="007A13D2"/>
    <w:rsid w:val="007A2454"/>
    <w:rsid w:val="007A2C95"/>
    <w:rsid w:val="007A5A9B"/>
    <w:rsid w:val="007A66A2"/>
    <w:rsid w:val="007B1298"/>
    <w:rsid w:val="007D1590"/>
    <w:rsid w:val="007D494B"/>
    <w:rsid w:val="007D49DE"/>
    <w:rsid w:val="007D7046"/>
    <w:rsid w:val="007E2A83"/>
    <w:rsid w:val="007E543A"/>
    <w:rsid w:val="007E5FC7"/>
    <w:rsid w:val="007E6BF9"/>
    <w:rsid w:val="00800B27"/>
    <w:rsid w:val="008131FE"/>
    <w:rsid w:val="0081432F"/>
    <w:rsid w:val="008160DE"/>
    <w:rsid w:val="00820704"/>
    <w:rsid w:val="00830277"/>
    <w:rsid w:val="00830FE2"/>
    <w:rsid w:val="008312F9"/>
    <w:rsid w:val="008349E9"/>
    <w:rsid w:val="00834FAF"/>
    <w:rsid w:val="00835857"/>
    <w:rsid w:val="00845393"/>
    <w:rsid w:val="00851DE8"/>
    <w:rsid w:val="008628CA"/>
    <w:rsid w:val="00863B37"/>
    <w:rsid w:val="00870376"/>
    <w:rsid w:val="00880C3A"/>
    <w:rsid w:val="00887262"/>
    <w:rsid w:val="00893D02"/>
    <w:rsid w:val="008940F0"/>
    <w:rsid w:val="0089748F"/>
    <w:rsid w:val="008B7531"/>
    <w:rsid w:val="008C6EBD"/>
    <w:rsid w:val="008D30EC"/>
    <w:rsid w:val="008D5B6F"/>
    <w:rsid w:val="008F7EE5"/>
    <w:rsid w:val="00904850"/>
    <w:rsid w:val="009133AB"/>
    <w:rsid w:val="009162B0"/>
    <w:rsid w:val="00920AAF"/>
    <w:rsid w:val="00941B2B"/>
    <w:rsid w:val="00953020"/>
    <w:rsid w:val="00954728"/>
    <w:rsid w:val="00954BB0"/>
    <w:rsid w:val="00963517"/>
    <w:rsid w:val="009767EB"/>
    <w:rsid w:val="00995078"/>
    <w:rsid w:val="00995757"/>
    <w:rsid w:val="009A219D"/>
    <w:rsid w:val="009A5E96"/>
    <w:rsid w:val="009A76B5"/>
    <w:rsid w:val="009A7A64"/>
    <w:rsid w:val="009B4F8C"/>
    <w:rsid w:val="009B6439"/>
    <w:rsid w:val="009B6A94"/>
    <w:rsid w:val="009C2E2C"/>
    <w:rsid w:val="009D2423"/>
    <w:rsid w:val="009D27F0"/>
    <w:rsid w:val="009F2094"/>
    <w:rsid w:val="009F321E"/>
    <w:rsid w:val="009F4145"/>
    <w:rsid w:val="009F5087"/>
    <w:rsid w:val="009F63FC"/>
    <w:rsid w:val="009F695E"/>
    <w:rsid w:val="00A03107"/>
    <w:rsid w:val="00A03A94"/>
    <w:rsid w:val="00A133B1"/>
    <w:rsid w:val="00A14888"/>
    <w:rsid w:val="00A15243"/>
    <w:rsid w:val="00A175FA"/>
    <w:rsid w:val="00A22D00"/>
    <w:rsid w:val="00A249F5"/>
    <w:rsid w:val="00A265CA"/>
    <w:rsid w:val="00A36C3C"/>
    <w:rsid w:val="00A37685"/>
    <w:rsid w:val="00A43ED8"/>
    <w:rsid w:val="00A54D25"/>
    <w:rsid w:val="00A55B02"/>
    <w:rsid w:val="00A55E05"/>
    <w:rsid w:val="00A92BF8"/>
    <w:rsid w:val="00AA0E58"/>
    <w:rsid w:val="00AB1226"/>
    <w:rsid w:val="00AE2F96"/>
    <w:rsid w:val="00AF6877"/>
    <w:rsid w:val="00B0261C"/>
    <w:rsid w:val="00B04374"/>
    <w:rsid w:val="00B218AE"/>
    <w:rsid w:val="00B2568E"/>
    <w:rsid w:val="00B53DBD"/>
    <w:rsid w:val="00B54E6F"/>
    <w:rsid w:val="00B610DA"/>
    <w:rsid w:val="00B81314"/>
    <w:rsid w:val="00B879AE"/>
    <w:rsid w:val="00B9284F"/>
    <w:rsid w:val="00B94D7A"/>
    <w:rsid w:val="00BA0AB9"/>
    <w:rsid w:val="00BA6038"/>
    <w:rsid w:val="00BA6683"/>
    <w:rsid w:val="00BB0D44"/>
    <w:rsid w:val="00BB3EC0"/>
    <w:rsid w:val="00BB6106"/>
    <w:rsid w:val="00BC25D0"/>
    <w:rsid w:val="00BD65B1"/>
    <w:rsid w:val="00BE0C2B"/>
    <w:rsid w:val="00BE17C5"/>
    <w:rsid w:val="00BF37B0"/>
    <w:rsid w:val="00BF3C77"/>
    <w:rsid w:val="00BF6606"/>
    <w:rsid w:val="00C058DA"/>
    <w:rsid w:val="00C07028"/>
    <w:rsid w:val="00C24377"/>
    <w:rsid w:val="00C27764"/>
    <w:rsid w:val="00C30744"/>
    <w:rsid w:val="00C30EB4"/>
    <w:rsid w:val="00C35C90"/>
    <w:rsid w:val="00C36656"/>
    <w:rsid w:val="00C5622F"/>
    <w:rsid w:val="00C756EC"/>
    <w:rsid w:val="00CB62F0"/>
    <w:rsid w:val="00CB6572"/>
    <w:rsid w:val="00CE549F"/>
    <w:rsid w:val="00CF274C"/>
    <w:rsid w:val="00CF3CBF"/>
    <w:rsid w:val="00CF689B"/>
    <w:rsid w:val="00D02982"/>
    <w:rsid w:val="00D03383"/>
    <w:rsid w:val="00D03EE3"/>
    <w:rsid w:val="00D05B90"/>
    <w:rsid w:val="00D10DBF"/>
    <w:rsid w:val="00D1613D"/>
    <w:rsid w:val="00D3129C"/>
    <w:rsid w:val="00D375A2"/>
    <w:rsid w:val="00D40291"/>
    <w:rsid w:val="00D44FCC"/>
    <w:rsid w:val="00D4666F"/>
    <w:rsid w:val="00D507E9"/>
    <w:rsid w:val="00D52959"/>
    <w:rsid w:val="00D61C6B"/>
    <w:rsid w:val="00D70ABB"/>
    <w:rsid w:val="00D73825"/>
    <w:rsid w:val="00D839C4"/>
    <w:rsid w:val="00D93AA4"/>
    <w:rsid w:val="00DA0517"/>
    <w:rsid w:val="00DA0E4C"/>
    <w:rsid w:val="00DA165E"/>
    <w:rsid w:val="00DA693E"/>
    <w:rsid w:val="00DA6C89"/>
    <w:rsid w:val="00DB547B"/>
    <w:rsid w:val="00DB72C5"/>
    <w:rsid w:val="00DE1985"/>
    <w:rsid w:val="00DE401B"/>
    <w:rsid w:val="00E03CA1"/>
    <w:rsid w:val="00E14985"/>
    <w:rsid w:val="00E1542A"/>
    <w:rsid w:val="00E245C6"/>
    <w:rsid w:val="00E339EB"/>
    <w:rsid w:val="00E3744C"/>
    <w:rsid w:val="00E5100C"/>
    <w:rsid w:val="00E66FFA"/>
    <w:rsid w:val="00E70400"/>
    <w:rsid w:val="00E812B0"/>
    <w:rsid w:val="00E83D82"/>
    <w:rsid w:val="00E83F8C"/>
    <w:rsid w:val="00E857AA"/>
    <w:rsid w:val="00E95451"/>
    <w:rsid w:val="00E954DF"/>
    <w:rsid w:val="00EA7196"/>
    <w:rsid w:val="00EC32C3"/>
    <w:rsid w:val="00ED2CD7"/>
    <w:rsid w:val="00EF28B9"/>
    <w:rsid w:val="00EF2CF8"/>
    <w:rsid w:val="00EF3B46"/>
    <w:rsid w:val="00F0364E"/>
    <w:rsid w:val="00F04685"/>
    <w:rsid w:val="00F0512E"/>
    <w:rsid w:val="00F10FAC"/>
    <w:rsid w:val="00F24A86"/>
    <w:rsid w:val="00F27EB8"/>
    <w:rsid w:val="00F32011"/>
    <w:rsid w:val="00F454D9"/>
    <w:rsid w:val="00F55AA0"/>
    <w:rsid w:val="00F62E65"/>
    <w:rsid w:val="00F636BA"/>
    <w:rsid w:val="00F71E02"/>
    <w:rsid w:val="00F775B3"/>
    <w:rsid w:val="00F810A6"/>
    <w:rsid w:val="00F829B8"/>
    <w:rsid w:val="00F92209"/>
    <w:rsid w:val="00FA603C"/>
    <w:rsid w:val="00FB687D"/>
    <w:rsid w:val="00FE551E"/>
    <w:rsid w:val="00FF2AD3"/>
    <w:rsid w:val="00FF5955"/>
    <w:rsid w:val="01952C52"/>
    <w:rsid w:val="04D91563"/>
    <w:rsid w:val="09EC0A4A"/>
    <w:rsid w:val="117D67C0"/>
    <w:rsid w:val="1AC25A15"/>
    <w:rsid w:val="1AE272D2"/>
    <w:rsid w:val="21366968"/>
    <w:rsid w:val="272651C2"/>
    <w:rsid w:val="27E070EF"/>
    <w:rsid w:val="2E285FCA"/>
    <w:rsid w:val="2E3141FD"/>
    <w:rsid w:val="32313C58"/>
    <w:rsid w:val="438A208A"/>
    <w:rsid w:val="4E4D3BB4"/>
    <w:rsid w:val="5054584C"/>
    <w:rsid w:val="51A37BD7"/>
    <w:rsid w:val="67140181"/>
    <w:rsid w:val="67936E03"/>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6" w:semiHidden="0" w:name="heading 1"/>
    <w:lsdException w:qFormat="1" w:unhideWhenUsed="0" w:uiPriority="6" w:semiHidden="0" w:name="heading 2"/>
    <w:lsdException w:qFormat="1" w:unhideWhenUsed="0" w:uiPriority="6" w:semiHidden="0" w:name="heading 3"/>
    <w:lsdException w:qFormat="1" w:uiPriority="6" w:semiHidden="0" w:name="heading 4"/>
    <w:lsdException w:qFormat="1" w:uiPriority="6" w:semiHidden="0" w:name="heading 5"/>
    <w:lsdException w:qFormat="1" w:uiPriority="6" w:name="heading 6"/>
    <w:lsdException w:qFormat="1" w:uiPriority="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semiHidden="0" w:name="annotation text"/>
    <w:lsdException w:qFormat="1" w:uiPriority="99" w:semiHidden="0" w:name="header"/>
    <w:lsdException w:qFormat="1" w:unhideWhenUsed="0" w:uiPriority="17" w:semiHidden="0" w:name="footer"/>
    <w:lsdException w:uiPriority="99" w:name="index heading"/>
    <w:lsdException w:qFormat="1" w:unhideWhenUsed="0" w:uiPriority="25" w:semiHidden="0" w:name="caption"/>
    <w:lsdException w:qFormat="1" w:uiPriority="99" w:semiHidden="0" w:name="table of figures"/>
    <w:lsdException w:uiPriority="99" w:name="envelope address"/>
    <w:lsdException w:uiPriority="99" w:name="envelope return"/>
    <w:lsdException w:qFormat="1" w:unhideWhenUsed="0" w:uiPriority="28" w:semiHidden="0"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11" w:semiHidden="0" w:name="List Bullet"/>
    <w:lsdException w:qFormat="1" w:unhideWhenUsed="0" w:uiPriority="13" w:semiHidden="0" w:name="List Number"/>
    <w:lsdException w:uiPriority="99" w:name="List 2"/>
    <w:lsdException w:uiPriority="99" w:name="List 3"/>
    <w:lsdException w:uiPriority="99" w:name="List 4"/>
    <w:lsdException w:uiPriority="99" w:name="List 5"/>
    <w:lsdException w:qFormat="1" w:unhideWhenUsed="0" w:uiPriority="12" w:semiHidden="0" w:name="List Bullet 2"/>
    <w:lsdException w:uiPriority="99" w:name="List Bullet 3"/>
    <w:lsdException w:uiPriority="99" w:name="List Bullet 4"/>
    <w:lsdException w:uiPriority="99" w:name="List Bullet 5"/>
    <w:lsdException w:qFormat="1" w:uiPriority="14" w:semiHidden="0" w:name="List Number 2"/>
    <w:lsdException w:uiPriority="99" w:name="List Number 3"/>
    <w:lsdException w:uiPriority="99" w:name="List Number 4"/>
    <w:lsdException w:uiPriority="99" w:name="List Number 5"/>
    <w:lsdException w:qFormat="1" w:unhideWhenUsed="0" w:uiPriority="4" w:semiHidden="0" w:name="Title"/>
    <w:lsdException w:uiPriority="99" w:name="Closing"/>
    <w:lsdException w:qFormat="1" w:unhideWhenUsed="0" w:uiPriority="5"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5"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39" w:semiHidden="0" w:name="Strong"/>
    <w:lsdException w:qFormat="1" w:unhideWhenUsed="0" w:uiPriority="27"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qFormat="1" w:unhideWhenUsed="0" w:uiPriority="0" w:semiHidden="0" w:name="Table Columns 4"/>
    <w:lsdException w:qFormat="1" w:uiPriority="99" w:name="Balloon Text"/>
    <w:lsdException w:qFormat="1" w:unhideWhenUsed="0" w:uiPriority="59" w:semiHidden="0" w:name="Table Grid"/>
    <w:lsdException w:qFormat="1" w:uiPriority="29" w:semiHidden="0" w:name="No Spacing"/>
    <w:lsdException w:qFormat="1" w:unhideWhenUsed="0" w:uiPriority="60" w:semiHidden="0" w:name="Light Shading"/>
    <w:lsdException w:qFormat="1" w:unhideWhenUsed="0" w:uiPriority="34" w:semiHidden="0" w:name="List Paragraph"/>
    <w:lsdException w:qFormat="1" w:unhideWhenUsed="0" w:uiPriority="29" w:semiHidden="0" w:name="Quote"/>
  </w:latentStyles>
  <w:style w:type="paragraph" w:default="1" w:styleId="1">
    <w:name w:val="Normal"/>
    <w:qFormat/>
    <w:uiPriority w:val="0"/>
    <w:pPr>
      <w:spacing w:before="120" w:after="120" w:line="240" w:lineRule="auto"/>
      <w:jc w:val="both"/>
    </w:pPr>
    <w:rPr>
      <w:rFonts w:ascii="Marianne" w:hAnsi="Marianne" w:eastAsiaTheme="minorHAnsi" w:cstheme="minorBidi"/>
      <w:color w:val="000000" w:themeColor="text1"/>
      <w:sz w:val="22"/>
      <w:szCs w:val="21"/>
      <w:lang w:val="fr-FR" w:eastAsia="en-US" w:bidi="ar-SA"/>
      <w14:textFill>
        <w14:solidFill>
          <w14:schemeClr w14:val="tx1"/>
        </w14:solidFill>
      </w14:textFill>
    </w:rPr>
  </w:style>
  <w:style w:type="paragraph" w:styleId="2">
    <w:name w:val="heading 1"/>
    <w:basedOn w:val="1"/>
    <w:next w:val="1"/>
    <w:link w:val="43"/>
    <w:qFormat/>
    <w:uiPriority w:val="6"/>
    <w:pPr>
      <w:keepNext/>
      <w:keepLines/>
      <w:numPr>
        <w:ilvl w:val="0"/>
        <w:numId w:val="1"/>
      </w:numPr>
      <w:spacing w:before="480" w:after="240"/>
      <w:jc w:val="left"/>
      <w:outlineLvl w:val="0"/>
    </w:pPr>
    <w:rPr>
      <w:rFonts w:eastAsiaTheme="majorEastAsia" w:cstheme="majorHAnsi"/>
      <w:b/>
      <w:bCs/>
      <w:sz w:val="28"/>
      <w:szCs w:val="26"/>
    </w:rPr>
  </w:style>
  <w:style w:type="paragraph" w:styleId="3">
    <w:name w:val="heading 2"/>
    <w:basedOn w:val="1"/>
    <w:next w:val="1"/>
    <w:link w:val="44"/>
    <w:qFormat/>
    <w:uiPriority w:val="6"/>
    <w:pPr>
      <w:keepNext/>
      <w:keepLines/>
      <w:numPr>
        <w:ilvl w:val="1"/>
        <w:numId w:val="1"/>
      </w:numPr>
      <w:spacing w:before="360" w:after="240"/>
      <w:jc w:val="left"/>
      <w:outlineLvl w:val="1"/>
    </w:pPr>
    <w:rPr>
      <w:rFonts w:eastAsiaTheme="majorEastAsia" w:cstheme="majorHAnsi"/>
      <w:b/>
      <w:bCs/>
      <w:color w:val="3891AF" w:themeColor="accent5" w:themeShade="BF"/>
      <w:sz w:val="26"/>
      <w:szCs w:val="26"/>
    </w:rPr>
  </w:style>
  <w:style w:type="paragraph" w:styleId="4">
    <w:name w:val="heading 3"/>
    <w:basedOn w:val="1"/>
    <w:next w:val="1"/>
    <w:link w:val="45"/>
    <w:qFormat/>
    <w:uiPriority w:val="6"/>
    <w:pPr>
      <w:keepNext/>
      <w:keepLines/>
      <w:numPr>
        <w:ilvl w:val="2"/>
        <w:numId w:val="1"/>
      </w:numPr>
      <w:spacing w:before="240" w:after="240"/>
      <w:jc w:val="left"/>
      <w:outlineLvl w:val="2"/>
    </w:pPr>
    <w:rPr>
      <w:rFonts w:eastAsiaTheme="majorEastAsia" w:cstheme="minorHAnsi"/>
      <w:bCs/>
      <w:sz w:val="24"/>
      <w:szCs w:val="26"/>
    </w:rPr>
  </w:style>
  <w:style w:type="paragraph" w:styleId="5">
    <w:name w:val="heading 4"/>
    <w:basedOn w:val="1"/>
    <w:next w:val="1"/>
    <w:link w:val="46"/>
    <w:unhideWhenUsed/>
    <w:qFormat/>
    <w:uiPriority w:val="6"/>
    <w:pPr>
      <w:keepNext/>
      <w:keepLines/>
      <w:numPr>
        <w:ilvl w:val="3"/>
        <w:numId w:val="1"/>
      </w:numPr>
      <w:jc w:val="left"/>
      <w:outlineLvl w:val="3"/>
    </w:pPr>
    <w:rPr>
      <w:rFonts w:eastAsiaTheme="majorEastAsia" w:cstheme="minorHAnsi"/>
      <w:b/>
      <w:bCs/>
      <w:iCs/>
      <w:color w:val="92D050"/>
    </w:rPr>
  </w:style>
  <w:style w:type="paragraph" w:styleId="6">
    <w:name w:val="heading 5"/>
    <w:basedOn w:val="1"/>
    <w:next w:val="1"/>
    <w:link w:val="55"/>
    <w:unhideWhenUsed/>
    <w:qFormat/>
    <w:uiPriority w:val="6"/>
    <w:pPr>
      <w:keepNext/>
      <w:keepLines/>
      <w:spacing w:before="200" w:after="0"/>
      <w:outlineLvl w:val="4"/>
    </w:pPr>
    <w:rPr>
      <w:rFonts w:eastAsia="Times New Roman" w:cs="Times New Roman"/>
      <w:b/>
      <w:color w:val="auto"/>
      <w:szCs w:val="24"/>
      <w:lang w:eastAsia="fr-FR"/>
    </w:rPr>
  </w:style>
  <w:style w:type="paragraph" w:styleId="7">
    <w:name w:val="heading 6"/>
    <w:basedOn w:val="1"/>
    <w:next w:val="1"/>
    <w:link w:val="56"/>
    <w:semiHidden/>
    <w:unhideWhenUsed/>
    <w:qFormat/>
    <w:uiPriority w:val="6"/>
    <w:pPr>
      <w:keepNext/>
      <w:keepLines/>
      <w:spacing w:before="200" w:after="0"/>
      <w:outlineLvl w:val="5"/>
    </w:pPr>
    <w:rPr>
      <w:rFonts w:eastAsia="Times New Roman" w:cs="Times New Roman"/>
      <w:i/>
      <w:iCs/>
      <w:color w:val="275277"/>
      <w:szCs w:val="24"/>
      <w:lang w:eastAsia="fr-FR"/>
    </w:rPr>
  </w:style>
  <w:style w:type="paragraph" w:styleId="8">
    <w:name w:val="heading 7"/>
    <w:basedOn w:val="1"/>
    <w:next w:val="1"/>
    <w:link w:val="47"/>
    <w:semiHidden/>
    <w:unhideWhenUsed/>
    <w:qFormat/>
    <w:uiPriority w:val="0"/>
    <w:pPr>
      <w:keepNext/>
      <w:keepLines/>
      <w:numPr>
        <w:ilvl w:val="6"/>
        <w:numId w:val="1"/>
      </w:numPr>
      <w:spacing w:before="200" w:after="0"/>
      <w:outlineLvl w:val="6"/>
    </w:pPr>
    <w:rPr>
      <w:rFonts w:ascii="Times New Roman" w:hAnsi="Times New Roman" w:eastAsia="Times New Roman" w:cs="Times New Roman"/>
      <w:i/>
      <w:iCs/>
      <w:color w:val="404040"/>
      <w:sz w:val="24"/>
      <w:szCs w:val="24"/>
      <w:lang w:eastAsia="fr-FR"/>
    </w:rPr>
  </w:style>
  <w:style w:type="paragraph" w:styleId="9">
    <w:name w:val="heading 8"/>
    <w:basedOn w:val="1"/>
    <w:next w:val="1"/>
    <w:link w:val="48"/>
    <w:semiHidden/>
    <w:unhideWhenUsed/>
    <w:qFormat/>
    <w:uiPriority w:val="9"/>
    <w:pPr>
      <w:keepNext/>
      <w:keepLines/>
      <w:numPr>
        <w:ilvl w:val="7"/>
        <w:numId w:val="1"/>
      </w:numPr>
      <w:spacing w:before="200" w:after="0"/>
      <w:outlineLvl w:val="7"/>
    </w:pPr>
    <w:rPr>
      <w:rFonts w:asciiTheme="majorHAnsi" w:hAnsiTheme="majorHAnsi" w:eastAsiaTheme="majorEastAsia" w:cstheme="majorBidi"/>
      <w:color w:val="404040" w:themeColor="text1" w:themeTint="BF"/>
      <w:szCs w:val="20"/>
      <w14:textFill>
        <w14:solidFill>
          <w14:schemeClr w14:val="tx1">
            <w14:lumMod w14:val="75000"/>
            <w14:lumOff w14:val="25000"/>
          </w14:schemeClr>
        </w14:solidFill>
      </w14:textFill>
    </w:rPr>
  </w:style>
  <w:style w:type="paragraph" w:styleId="10">
    <w:name w:val="heading 9"/>
    <w:basedOn w:val="1"/>
    <w:next w:val="1"/>
    <w:link w:val="49"/>
    <w:semiHidden/>
    <w:unhideWhenUsed/>
    <w:qFormat/>
    <w:uiPriority w:val="9"/>
    <w:pPr>
      <w:keepNext/>
      <w:keepLines/>
      <w:numPr>
        <w:ilvl w:val="8"/>
        <w:numId w:val="1"/>
      </w:numPr>
      <w:spacing w:before="200" w:after="0"/>
      <w:outlineLvl w:val="8"/>
    </w:pPr>
    <w:rPr>
      <w:rFonts w:asciiTheme="majorHAnsi" w:hAnsiTheme="majorHAnsi" w:eastAsiaTheme="majorEastAsia" w:cstheme="majorBidi"/>
      <w:i/>
      <w:iCs/>
      <w:color w:val="404040" w:themeColor="text1" w:themeTint="BF"/>
      <w:szCs w:val="20"/>
      <w14:textFill>
        <w14:solidFill>
          <w14:schemeClr w14:val="tx1">
            <w14:lumMod w14:val="75000"/>
            <w14:lumOff w14:val="25000"/>
          </w14:schemeClr>
        </w14:solidFill>
      </w14:textFill>
    </w:rPr>
  </w:style>
  <w:style w:type="character" w:default="1" w:styleId="11">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character" w:styleId="12">
    <w:name w:val="Hyperlink"/>
    <w:basedOn w:val="11"/>
    <w:unhideWhenUsed/>
    <w:qFormat/>
    <w:uiPriority w:val="99"/>
    <w:rPr>
      <w:color w:val="084E8E" w:themeColor="accent1"/>
      <w:u w:val="single"/>
      <w14:textFill>
        <w14:solidFill>
          <w14:schemeClr w14:val="accent1"/>
        </w14:solidFill>
      </w14:textFill>
    </w:rPr>
  </w:style>
  <w:style w:type="character" w:styleId="13">
    <w:name w:val="footnote reference"/>
    <w:basedOn w:val="11"/>
    <w:qFormat/>
    <w:uiPriority w:val="28"/>
    <w:rPr>
      <w:vertAlign w:val="superscript"/>
    </w:rPr>
  </w:style>
  <w:style w:type="character" w:styleId="14">
    <w:name w:val="annotation reference"/>
    <w:basedOn w:val="11"/>
    <w:semiHidden/>
    <w:unhideWhenUsed/>
    <w:qFormat/>
    <w:uiPriority w:val="99"/>
    <w:rPr>
      <w:sz w:val="16"/>
      <w:szCs w:val="16"/>
    </w:rPr>
  </w:style>
  <w:style w:type="character" w:styleId="15">
    <w:name w:val="Emphasis"/>
    <w:basedOn w:val="11"/>
    <w:qFormat/>
    <w:uiPriority w:val="27"/>
    <w:rPr>
      <w:b/>
      <w:iCs/>
    </w:rPr>
  </w:style>
  <w:style w:type="paragraph" w:styleId="16">
    <w:name w:val="Subtitle"/>
    <w:basedOn w:val="1"/>
    <w:next w:val="1"/>
    <w:link w:val="78"/>
    <w:qFormat/>
    <w:uiPriority w:val="5"/>
    <w:pPr>
      <w:spacing w:before="240" w:after="840"/>
      <w:jc w:val="center"/>
    </w:pPr>
    <w:rPr>
      <w:rFonts w:eastAsiaTheme="majorEastAsia" w:cstheme="majorBidi"/>
      <w:b/>
      <w:iCs/>
      <w:color w:val="3891AF" w:themeColor="accent5" w:themeShade="BF"/>
      <w:spacing w:val="15"/>
      <w:sz w:val="24"/>
      <w:szCs w:val="24"/>
    </w:rPr>
  </w:style>
  <w:style w:type="paragraph" w:styleId="17">
    <w:name w:val="List Bullet 2"/>
    <w:basedOn w:val="18"/>
    <w:qFormat/>
    <w:uiPriority w:val="12"/>
    <w:pPr>
      <w:numPr>
        <w:ilvl w:val="0"/>
        <w:numId w:val="2"/>
      </w:numPr>
      <w:ind w:left="851" w:hanging="284"/>
    </w:pPr>
    <w:rPr>
      <w:rFonts w:eastAsia="Times New Roman" w:cs="Arial"/>
      <w:color w:val="auto"/>
      <w:szCs w:val="18"/>
      <w:lang w:eastAsia="fr-FR"/>
    </w:rPr>
  </w:style>
  <w:style w:type="paragraph" w:styleId="18">
    <w:name w:val="List Paragraph"/>
    <w:basedOn w:val="1"/>
    <w:link w:val="86"/>
    <w:qFormat/>
    <w:uiPriority w:val="34"/>
    <w:pPr>
      <w:numPr>
        <w:ilvl w:val="0"/>
        <w:numId w:val="3"/>
      </w:numPr>
      <w:spacing w:before="60" w:after="60"/>
    </w:pPr>
  </w:style>
  <w:style w:type="paragraph" w:styleId="19">
    <w:name w:val="footnote text"/>
    <w:basedOn w:val="1"/>
    <w:link w:val="50"/>
    <w:semiHidden/>
    <w:qFormat/>
    <w:uiPriority w:val="0"/>
    <w:pPr>
      <w:spacing w:before="60" w:after="60"/>
    </w:pPr>
    <w:rPr>
      <w:rFonts w:eastAsia="Times New Roman" w:cs="Times New Roman"/>
      <w:color w:val="auto"/>
      <w:sz w:val="18"/>
      <w:szCs w:val="20"/>
      <w:lang w:eastAsia="fr-FR"/>
    </w:rPr>
  </w:style>
  <w:style w:type="paragraph" w:styleId="20">
    <w:name w:val="annotation subject"/>
    <w:basedOn w:val="21"/>
    <w:next w:val="21"/>
    <w:link w:val="84"/>
    <w:semiHidden/>
    <w:unhideWhenUsed/>
    <w:qFormat/>
    <w:uiPriority w:val="99"/>
    <w:rPr>
      <w:b/>
      <w:bCs/>
    </w:rPr>
  </w:style>
  <w:style w:type="paragraph" w:styleId="21">
    <w:name w:val="annotation text"/>
    <w:basedOn w:val="1"/>
    <w:link w:val="83"/>
    <w:unhideWhenUsed/>
    <w:qFormat/>
    <w:uiPriority w:val="99"/>
    <w:rPr>
      <w:sz w:val="20"/>
      <w:szCs w:val="20"/>
    </w:rPr>
  </w:style>
  <w:style w:type="paragraph" w:styleId="22">
    <w:name w:val="caption"/>
    <w:basedOn w:val="1"/>
    <w:next w:val="1"/>
    <w:qFormat/>
    <w:uiPriority w:val="25"/>
    <w:pPr>
      <w:spacing w:before="60"/>
      <w:jc w:val="center"/>
    </w:pPr>
    <w:rPr>
      <w:rFonts w:cstheme="minorHAnsi"/>
      <w:b/>
      <w:bCs/>
      <w:color w:val="92D050"/>
      <w:sz w:val="16"/>
      <w:szCs w:val="18"/>
    </w:rPr>
  </w:style>
  <w:style w:type="paragraph" w:styleId="23">
    <w:name w:val="List Number"/>
    <w:basedOn w:val="18"/>
    <w:qFormat/>
    <w:uiPriority w:val="13"/>
    <w:pPr>
      <w:numPr>
        <w:ilvl w:val="0"/>
        <w:numId w:val="4"/>
      </w:numPr>
    </w:pPr>
  </w:style>
  <w:style w:type="paragraph" w:styleId="24">
    <w:name w:val="Balloon Text"/>
    <w:basedOn w:val="1"/>
    <w:link w:val="60"/>
    <w:semiHidden/>
    <w:unhideWhenUsed/>
    <w:qFormat/>
    <w:uiPriority w:val="99"/>
    <w:pPr>
      <w:spacing w:before="0" w:after="0"/>
    </w:pPr>
    <w:rPr>
      <w:rFonts w:ascii="Tahoma" w:hAnsi="Tahoma" w:cs="Tahoma"/>
      <w:sz w:val="16"/>
      <w:szCs w:val="16"/>
    </w:rPr>
  </w:style>
  <w:style w:type="paragraph" w:styleId="25">
    <w:name w:val="toc 3"/>
    <w:basedOn w:val="1"/>
    <w:next w:val="1"/>
    <w:autoRedefine/>
    <w:unhideWhenUsed/>
    <w:qFormat/>
    <w:uiPriority w:val="39"/>
    <w:pPr>
      <w:spacing w:after="100"/>
      <w:ind w:left="440"/>
    </w:pPr>
  </w:style>
  <w:style w:type="paragraph" w:styleId="26">
    <w:name w:val="footer"/>
    <w:basedOn w:val="1"/>
    <w:link w:val="51"/>
    <w:qFormat/>
    <w:uiPriority w:val="17"/>
    <w:pPr>
      <w:tabs>
        <w:tab w:val="right" w:pos="9639"/>
      </w:tabs>
      <w:spacing w:after="0" w:line="240" w:lineRule="auto"/>
    </w:pPr>
    <w:rPr>
      <w:rFonts w:ascii="Marianne" w:hAnsi="Marianne" w:eastAsiaTheme="minorHAnsi" w:cstheme="minorBidi"/>
      <w:color w:val="000000" w:themeColor="text1"/>
      <w:sz w:val="18"/>
      <w:szCs w:val="22"/>
      <w:lang w:val="fr-FR" w:eastAsia="en-US" w:bidi="ar-SA"/>
      <w14:textFill>
        <w14:solidFill>
          <w14:schemeClr w14:val="tx1"/>
        </w14:solidFill>
      </w14:textFill>
    </w:rPr>
  </w:style>
  <w:style w:type="paragraph" w:styleId="27">
    <w:name w:val="header"/>
    <w:link w:val="57"/>
    <w:unhideWhenUsed/>
    <w:qFormat/>
    <w:uiPriority w:val="99"/>
    <w:pPr>
      <w:tabs>
        <w:tab w:val="center" w:pos="4513"/>
        <w:tab w:val="right" w:pos="9026"/>
      </w:tabs>
      <w:spacing w:after="0" w:line="240" w:lineRule="auto"/>
      <w:jc w:val="right"/>
    </w:pPr>
    <w:rPr>
      <w:rFonts w:asciiTheme="minorHAnsi" w:hAnsiTheme="minorHAnsi" w:eastAsiaTheme="minorHAnsi" w:cstheme="minorBidi"/>
      <w:caps/>
      <w:color w:val="000000" w:themeColor="text1"/>
      <w:sz w:val="18"/>
      <w:szCs w:val="22"/>
      <w:lang w:val="fr-FR" w:eastAsia="en-US" w:bidi="ar-SA"/>
      <w14:textFill>
        <w14:solidFill>
          <w14:schemeClr w14:val="tx1"/>
        </w14:solidFill>
      </w14:textFill>
    </w:rPr>
  </w:style>
  <w:style w:type="paragraph" w:styleId="28">
    <w:name w:val="List Number 2"/>
    <w:basedOn w:val="18"/>
    <w:unhideWhenUsed/>
    <w:qFormat/>
    <w:uiPriority w:val="14"/>
    <w:pPr>
      <w:numPr>
        <w:ilvl w:val="1"/>
        <w:numId w:val="5"/>
      </w:numPr>
    </w:pPr>
  </w:style>
  <w:style w:type="paragraph" w:styleId="29">
    <w:name w:val="toc 2"/>
    <w:basedOn w:val="1"/>
    <w:next w:val="1"/>
    <w:autoRedefine/>
    <w:unhideWhenUsed/>
    <w:qFormat/>
    <w:uiPriority w:val="39"/>
    <w:pPr>
      <w:spacing w:after="100"/>
      <w:ind w:left="220"/>
    </w:pPr>
  </w:style>
  <w:style w:type="paragraph" w:styleId="30">
    <w:name w:val="Signature"/>
    <w:basedOn w:val="1"/>
    <w:next w:val="1"/>
    <w:link w:val="59"/>
    <w:semiHidden/>
    <w:qFormat/>
    <w:uiPriority w:val="5"/>
    <w:pPr>
      <w:spacing w:before="840"/>
      <w:ind w:left="5670"/>
    </w:pPr>
  </w:style>
  <w:style w:type="paragraph" w:styleId="31">
    <w:name w:val="List Bullet"/>
    <w:basedOn w:val="18"/>
    <w:qFormat/>
    <w:uiPriority w:val="11"/>
    <w:pPr>
      <w:numPr>
        <w:ilvl w:val="0"/>
        <w:numId w:val="6"/>
      </w:numPr>
      <w:ind w:left="567" w:hanging="283"/>
    </w:pPr>
    <w:rPr>
      <w:rFonts w:eastAsia="Times New Roman" w:cs="Arial"/>
      <w:color w:val="auto"/>
      <w:szCs w:val="18"/>
      <w:lang w:eastAsia="fr-FR"/>
    </w:rPr>
  </w:style>
  <w:style w:type="paragraph" w:styleId="32">
    <w:name w:val="table of figures"/>
    <w:basedOn w:val="1"/>
    <w:next w:val="1"/>
    <w:unhideWhenUsed/>
    <w:qFormat/>
    <w:uiPriority w:val="99"/>
    <w:pPr>
      <w:spacing w:after="0"/>
    </w:pPr>
  </w:style>
  <w:style w:type="paragraph" w:styleId="33">
    <w:name w:val="Title"/>
    <w:basedOn w:val="1"/>
    <w:next w:val="1"/>
    <w:link w:val="52"/>
    <w:qFormat/>
    <w:uiPriority w:val="4"/>
    <w:pPr>
      <w:spacing w:before="240" w:after="240"/>
      <w:contextualSpacing/>
      <w:jc w:val="center"/>
    </w:pPr>
    <w:rPr>
      <w:rFonts w:eastAsiaTheme="majorEastAsia" w:cstheme="majorHAnsi"/>
      <w:b/>
      <w:color w:val="auto"/>
      <w:kern w:val="28"/>
      <w:sz w:val="28"/>
      <w:szCs w:val="30"/>
    </w:rPr>
  </w:style>
  <w:style w:type="paragraph" w:styleId="34">
    <w:name w:val="toc 1"/>
    <w:basedOn w:val="1"/>
    <w:next w:val="1"/>
    <w:autoRedefine/>
    <w:unhideWhenUsed/>
    <w:qFormat/>
    <w:uiPriority w:val="39"/>
    <w:pPr>
      <w:spacing w:after="100"/>
    </w:pPr>
  </w:style>
  <w:style w:type="paragraph" w:customStyle="1" w:styleId="36">
    <w:name w:val="Article"/>
    <w:basedOn w:val="1"/>
    <w:link w:val="37"/>
    <w:semiHidden/>
    <w:qFormat/>
    <w:uiPriority w:val="1"/>
    <w:pPr>
      <w:keepLines/>
      <w:numPr>
        <w:ilvl w:val="0"/>
        <w:numId w:val="7"/>
      </w:numPr>
      <w:tabs>
        <w:tab w:val="left" w:pos="360"/>
      </w:tabs>
      <w:ind w:left="1134" w:hanging="1134"/>
    </w:pPr>
    <w:rPr>
      <w:rFonts w:eastAsia="Times New Roman" w:cs="Times New Roman"/>
      <w:color w:val="auto"/>
      <w:szCs w:val="24"/>
      <w:lang w:eastAsia="fr-FR"/>
    </w:rPr>
  </w:style>
  <w:style w:type="character" w:customStyle="1" w:styleId="37">
    <w:name w:val="Article Car"/>
    <w:link w:val="36"/>
    <w:semiHidden/>
    <w:qFormat/>
    <w:uiPriority w:val="1"/>
    <w:rPr>
      <w:rFonts w:ascii="Marianne" w:hAnsi="Marianne" w:eastAsia="Times New Roman" w:cs="Times New Roman"/>
      <w:szCs w:val="24"/>
      <w:lang w:eastAsia="fr-FR"/>
    </w:rPr>
  </w:style>
  <w:style w:type="paragraph" w:customStyle="1" w:styleId="38">
    <w:name w:val="Titr tableau"/>
    <w:basedOn w:val="39"/>
    <w:link w:val="42"/>
    <w:qFormat/>
    <w:uiPriority w:val="22"/>
    <w:pPr>
      <w:keepNext/>
      <w:jc w:val="center"/>
    </w:pPr>
    <w:rPr>
      <w:rFonts w:ascii="Marianne" w:hAnsi="Marianne" w:eastAsia="Times New Roman" w:cs="Times New Roman"/>
      <w:b/>
      <w:color w:val="3891AF" w:themeColor="accent5" w:themeShade="BF"/>
      <w:szCs w:val="20"/>
      <w:lang w:eastAsia="fr-FR"/>
    </w:rPr>
  </w:style>
  <w:style w:type="paragraph" w:styleId="39">
    <w:name w:val="No Spacing"/>
    <w:link w:val="41"/>
    <w:unhideWhenUsed/>
    <w:qFormat/>
    <w:uiPriority w:val="29"/>
    <w:pPr>
      <w:spacing w:after="0" w:line="240" w:lineRule="auto"/>
      <w:jc w:val="both"/>
    </w:pPr>
    <w:rPr>
      <w:rFonts w:asciiTheme="minorHAnsi" w:hAnsiTheme="minorHAnsi" w:eastAsiaTheme="minorHAnsi" w:cstheme="minorBidi"/>
      <w:color w:val="000000" w:themeColor="text1"/>
      <w:sz w:val="20"/>
      <w:szCs w:val="22"/>
      <w:lang w:val="fr-FR" w:eastAsia="en-US" w:bidi="ar-SA"/>
      <w14:textFill>
        <w14:solidFill>
          <w14:schemeClr w14:val="tx1"/>
        </w14:solidFill>
      </w14:textFill>
    </w:rPr>
  </w:style>
  <w:style w:type="paragraph" w:customStyle="1" w:styleId="40">
    <w:name w:val="Tableau"/>
    <w:basedOn w:val="38"/>
    <w:link w:val="62"/>
    <w:autoRedefine/>
    <w:qFormat/>
    <w:uiPriority w:val="22"/>
    <w:rPr>
      <w:color w:val="000000" w:themeColor="text1"/>
      <w14:textFill>
        <w14:solidFill>
          <w14:schemeClr w14:val="tx1"/>
        </w14:solidFill>
      </w14:textFill>
    </w:rPr>
  </w:style>
  <w:style w:type="character" w:customStyle="1" w:styleId="41">
    <w:name w:val="Sans interligne Car"/>
    <w:basedOn w:val="11"/>
    <w:link w:val="39"/>
    <w:qFormat/>
    <w:uiPriority w:val="29"/>
    <w:rPr>
      <w:color w:val="000000" w:themeColor="text1"/>
      <w:sz w:val="20"/>
      <w14:textFill>
        <w14:solidFill>
          <w14:schemeClr w14:val="tx1"/>
        </w14:solidFill>
      </w14:textFill>
    </w:rPr>
  </w:style>
  <w:style w:type="character" w:customStyle="1" w:styleId="42">
    <w:name w:val="Titr tableau Car"/>
    <w:basedOn w:val="41"/>
    <w:link w:val="38"/>
    <w:qFormat/>
    <w:uiPriority w:val="22"/>
    <w:rPr>
      <w:rFonts w:ascii="Marianne" w:hAnsi="Marianne" w:eastAsia="Times New Roman" w:cs="Times New Roman"/>
      <w:b/>
      <w:color w:val="3891AF" w:themeColor="accent5" w:themeShade="BF"/>
      <w:sz w:val="20"/>
      <w:szCs w:val="20"/>
      <w:lang w:eastAsia="fr-FR"/>
    </w:rPr>
  </w:style>
  <w:style w:type="character" w:customStyle="1" w:styleId="43">
    <w:name w:val="Titre 1 Car"/>
    <w:basedOn w:val="11"/>
    <w:link w:val="2"/>
    <w:qFormat/>
    <w:uiPriority w:val="6"/>
    <w:rPr>
      <w:rFonts w:ascii="Marianne" w:hAnsi="Marianne" w:eastAsiaTheme="majorEastAsia" w:cstheme="majorHAnsi"/>
      <w:b/>
      <w:bCs/>
      <w:color w:val="000000" w:themeColor="text1"/>
      <w:sz w:val="28"/>
      <w:szCs w:val="26"/>
      <w14:textFill>
        <w14:solidFill>
          <w14:schemeClr w14:val="tx1"/>
        </w14:solidFill>
      </w14:textFill>
    </w:rPr>
  </w:style>
  <w:style w:type="character" w:customStyle="1" w:styleId="44">
    <w:name w:val="Titre 2 Car"/>
    <w:basedOn w:val="11"/>
    <w:link w:val="3"/>
    <w:qFormat/>
    <w:uiPriority w:val="6"/>
    <w:rPr>
      <w:rFonts w:ascii="Marianne" w:hAnsi="Marianne" w:eastAsiaTheme="majorEastAsia" w:cstheme="majorHAnsi"/>
      <w:b/>
      <w:bCs/>
      <w:color w:val="3891AF" w:themeColor="accent5" w:themeShade="BF"/>
      <w:sz w:val="26"/>
      <w:szCs w:val="26"/>
    </w:rPr>
  </w:style>
  <w:style w:type="character" w:customStyle="1" w:styleId="45">
    <w:name w:val="Titre 3 Car"/>
    <w:basedOn w:val="11"/>
    <w:link w:val="4"/>
    <w:qFormat/>
    <w:uiPriority w:val="6"/>
    <w:rPr>
      <w:rFonts w:ascii="Marianne" w:hAnsi="Marianne" w:eastAsiaTheme="majorEastAsia" w:cstheme="minorHAnsi"/>
      <w:bCs/>
      <w:color w:val="000000" w:themeColor="text1"/>
      <w:sz w:val="24"/>
      <w:szCs w:val="26"/>
      <w14:textFill>
        <w14:solidFill>
          <w14:schemeClr w14:val="tx1"/>
        </w14:solidFill>
      </w14:textFill>
    </w:rPr>
  </w:style>
  <w:style w:type="character" w:customStyle="1" w:styleId="46">
    <w:name w:val="Titre 4 Car"/>
    <w:basedOn w:val="11"/>
    <w:link w:val="5"/>
    <w:qFormat/>
    <w:uiPriority w:val="6"/>
    <w:rPr>
      <w:rFonts w:ascii="Marianne" w:hAnsi="Marianne" w:eastAsiaTheme="majorEastAsia" w:cstheme="minorHAnsi"/>
      <w:b/>
      <w:bCs/>
      <w:iCs/>
      <w:color w:val="92D050"/>
      <w:szCs w:val="21"/>
    </w:rPr>
  </w:style>
  <w:style w:type="character" w:customStyle="1" w:styleId="47">
    <w:name w:val="Titre 7 Car"/>
    <w:basedOn w:val="11"/>
    <w:link w:val="8"/>
    <w:semiHidden/>
    <w:qFormat/>
    <w:uiPriority w:val="0"/>
    <w:rPr>
      <w:rFonts w:ascii="Times New Roman" w:hAnsi="Times New Roman" w:eastAsia="Times New Roman" w:cs="Times New Roman"/>
      <w:i/>
      <w:iCs/>
      <w:color w:val="404040"/>
      <w:sz w:val="24"/>
      <w:szCs w:val="24"/>
      <w:lang w:eastAsia="fr-FR"/>
    </w:rPr>
  </w:style>
  <w:style w:type="character" w:customStyle="1" w:styleId="48">
    <w:name w:val="Titre 8 Car"/>
    <w:basedOn w:val="11"/>
    <w:link w:val="9"/>
    <w:semiHidden/>
    <w:qFormat/>
    <w:uiPriority w:val="9"/>
    <w:rPr>
      <w:rFonts w:asciiTheme="majorHAnsi" w:hAnsiTheme="majorHAnsi" w:eastAsiaTheme="majorEastAsia" w:cstheme="majorBidi"/>
      <w:color w:val="404040" w:themeColor="text1" w:themeTint="BF"/>
      <w:szCs w:val="20"/>
      <w14:textFill>
        <w14:solidFill>
          <w14:schemeClr w14:val="tx1">
            <w14:lumMod w14:val="75000"/>
            <w14:lumOff w14:val="25000"/>
          </w14:schemeClr>
        </w14:solidFill>
      </w14:textFill>
    </w:rPr>
  </w:style>
  <w:style w:type="character" w:customStyle="1" w:styleId="49">
    <w:name w:val="Titre 9 Car"/>
    <w:basedOn w:val="11"/>
    <w:link w:val="10"/>
    <w:semiHidden/>
    <w:qFormat/>
    <w:uiPriority w:val="9"/>
    <w:rPr>
      <w:rFonts w:asciiTheme="majorHAnsi" w:hAnsiTheme="majorHAnsi" w:eastAsiaTheme="majorEastAsia" w:cstheme="majorBidi"/>
      <w:i/>
      <w:iCs/>
      <w:color w:val="404040" w:themeColor="text1" w:themeTint="BF"/>
      <w:szCs w:val="20"/>
      <w14:textFill>
        <w14:solidFill>
          <w14:schemeClr w14:val="tx1">
            <w14:lumMod w14:val="75000"/>
            <w14:lumOff w14:val="25000"/>
          </w14:schemeClr>
        </w14:solidFill>
      </w14:textFill>
    </w:rPr>
  </w:style>
  <w:style w:type="character" w:customStyle="1" w:styleId="50">
    <w:name w:val="Note de bas de page Car"/>
    <w:basedOn w:val="11"/>
    <w:link w:val="19"/>
    <w:semiHidden/>
    <w:qFormat/>
    <w:uiPriority w:val="0"/>
    <w:rPr>
      <w:rFonts w:eastAsia="Times New Roman" w:cs="Times New Roman"/>
      <w:sz w:val="18"/>
      <w:szCs w:val="20"/>
      <w:lang w:eastAsia="fr-FR"/>
    </w:rPr>
  </w:style>
  <w:style w:type="character" w:customStyle="1" w:styleId="51">
    <w:name w:val="Pied de page Car"/>
    <w:basedOn w:val="11"/>
    <w:link w:val="26"/>
    <w:qFormat/>
    <w:uiPriority w:val="17"/>
    <w:rPr>
      <w:rFonts w:ascii="Marianne" w:hAnsi="Marianne"/>
      <w:color w:val="000000" w:themeColor="text1"/>
      <w:sz w:val="18"/>
      <w14:textFill>
        <w14:solidFill>
          <w14:schemeClr w14:val="tx1"/>
        </w14:solidFill>
      </w14:textFill>
    </w:rPr>
  </w:style>
  <w:style w:type="character" w:customStyle="1" w:styleId="52">
    <w:name w:val="Titre Car"/>
    <w:basedOn w:val="11"/>
    <w:link w:val="33"/>
    <w:qFormat/>
    <w:uiPriority w:val="4"/>
    <w:rPr>
      <w:rFonts w:ascii="Marianne" w:hAnsi="Marianne" w:eastAsiaTheme="majorEastAsia" w:cstheme="majorHAnsi"/>
      <w:b/>
      <w:kern w:val="28"/>
      <w:sz w:val="28"/>
      <w:szCs w:val="30"/>
    </w:rPr>
  </w:style>
  <w:style w:type="paragraph" w:styleId="53">
    <w:name w:val="Quote"/>
    <w:basedOn w:val="1"/>
    <w:next w:val="1"/>
    <w:link w:val="54"/>
    <w:qFormat/>
    <w:uiPriority w:val="29"/>
    <w:pPr>
      <w:ind w:left="284"/>
    </w:pPr>
    <w:rPr>
      <w:i/>
      <w:iCs/>
    </w:rPr>
  </w:style>
  <w:style w:type="character" w:customStyle="1" w:styleId="54">
    <w:name w:val="Citation Car"/>
    <w:basedOn w:val="11"/>
    <w:link w:val="53"/>
    <w:qFormat/>
    <w:uiPriority w:val="29"/>
    <w:rPr>
      <w:i/>
      <w:iCs/>
      <w:color w:val="000000"/>
      <w:szCs w:val="21"/>
    </w:rPr>
  </w:style>
  <w:style w:type="character" w:customStyle="1" w:styleId="55">
    <w:name w:val="Titre 5 Car"/>
    <w:basedOn w:val="11"/>
    <w:link w:val="6"/>
    <w:qFormat/>
    <w:uiPriority w:val="6"/>
    <w:rPr>
      <w:rFonts w:eastAsia="Times New Roman" w:cs="Times New Roman"/>
      <w:b/>
      <w:szCs w:val="24"/>
      <w:lang w:eastAsia="fr-FR"/>
    </w:rPr>
  </w:style>
  <w:style w:type="character" w:customStyle="1" w:styleId="56">
    <w:name w:val="Titre 6 Car"/>
    <w:basedOn w:val="11"/>
    <w:link w:val="7"/>
    <w:semiHidden/>
    <w:qFormat/>
    <w:uiPriority w:val="6"/>
    <w:rPr>
      <w:rFonts w:eastAsia="Times New Roman" w:cs="Times New Roman"/>
      <w:i/>
      <w:iCs/>
      <w:color w:val="275277"/>
      <w:szCs w:val="24"/>
      <w:lang w:eastAsia="fr-FR"/>
    </w:rPr>
  </w:style>
  <w:style w:type="character" w:customStyle="1" w:styleId="57">
    <w:name w:val="En-tête Car"/>
    <w:basedOn w:val="11"/>
    <w:link w:val="27"/>
    <w:qFormat/>
    <w:uiPriority w:val="99"/>
    <w:rPr>
      <w:caps/>
      <w:color w:val="000000" w:themeColor="text1"/>
      <w:sz w:val="18"/>
      <w14:textFill>
        <w14:solidFill>
          <w14:schemeClr w14:val="tx1"/>
        </w14:solidFill>
      </w14:textFill>
    </w:rPr>
  </w:style>
  <w:style w:type="table" w:styleId="58">
    <w:name w:val="Table Columns 4"/>
    <w:basedOn w:val="35"/>
    <w:qFormat/>
    <w:uiPriority w:val="0"/>
    <w:pPr>
      <w:spacing w:after="0" w:line="240" w:lineRule="auto"/>
      <w:contextualSpacing/>
      <w:jc w:val="center"/>
    </w:pPr>
    <w:rPr>
      <w:rFonts w:eastAsia="Times New Roman" w:cs="Times New Roman"/>
      <w:color w:val="000000" w:themeColor="text1"/>
      <w:szCs w:val="20"/>
      <w:lang w:eastAsia="fr-FR"/>
      <w14:textFill>
        <w14:solidFill>
          <w14:schemeClr w14:val="tx1"/>
        </w14:solidFill>
      </w14:textFill>
    </w:rPr>
    <w:tblPr>
      <w:jc w:val="center"/>
      <w:tblBorders>
        <w:insideH w:val="single" w:color="232253" w:themeColor="text2" w:sz="8" w:space="0"/>
      </w:tblBorders>
    </w:tblPr>
    <w:trPr>
      <w:jc w:val="center"/>
    </w:trPr>
    <w:tcPr>
      <w:vAlign w:val="center"/>
    </w:tcPr>
    <w:tblStylePr w:type="firstRow">
      <w:pPr>
        <w:jc w:val="center"/>
      </w:pPr>
      <w:rPr>
        <w:rFonts w:asciiTheme="minorHAnsi" w:hAnsiTheme="minorHAnsi"/>
        <w:b/>
        <w:color w:val="FFFFFF"/>
      </w:rPr>
      <w:tcPr>
        <w:tcBorders>
          <w:bottom w:val="single" w:color="232253" w:themeColor="text2" w:sz="18" w:space="0"/>
        </w:tcBorders>
      </w:tcPr>
    </w:tblStylePr>
    <w:tblStylePr w:type="lastRow">
      <w:rPr>
        <w:b/>
        <w:bCs/>
      </w:rPr>
      <w:tcPr>
        <w:tcBorders>
          <w:tl2br w:val="nil"/>
          <w:tr2bl w:val="nil"/>
        </w:tcBorders>
      </w:tcPr>
    </w:tblStylePr>
    <w:tblStylePr w:type="lastCol">
      <w:rPr>
        <w:b/>
        <w:bCs/>
      </w:rPr>
      <w:tcPr>
        <w:tcBorders>
          <w:tl2br w:val="nil"/>
          <w:tr2bl w:val="nil"/>
        </w:tcBorders>
      </w:tcPr>
    </w:tblStylePr>
    <w:tblStylePr w:type="band1Vert">
      <w:rPr>
        <w:color w:val="auto"/>
      </w:rPr>
      <w:tcPr>
        <w:shd w:val="pct50" w:color="008080" w:fill="FFFFFF"/>
      </w:tcPr>
    </w:tblStylePr>
    <w:tblStylePr w:type="band2Vert">
      <w:rPr>
        <w:color w:val="auto"/>
      </w:rPr>
      <w:tcPr>
        <w:shd w:val="pct10" w:color="000000" w:fill="FFFFFF"/>
      </w:tcPr>
    </w:tblStylePr>
  </w:style>
  <w:style w:type="character" w:customStyle="1" w:styleId="59">
    <w:name w:val="Signature Car"/>
    <w:basedOn w:val="11"/>
    <w:link w:val="30"/>
    <w:semiHidden/>
    <w:qFormat/>
    <w:uiPriority w:val="5"/>
    <w:rPr>
      <w:color w:val="000000"/>
      <w:szCs w:val="21"/>
    </w:rPr>
  </w:style>
  <w:style w:type="character" w:customStyle="1" w:styleId="60">
    <w:name w:val="Texte de bulles Car"/>
    <w:basedOn w:val="11"/>
    <w:link w:val="24"/>
    <w:semiHidden/>
    <w:qFormat/>
    <w:uiPriority w:val="99"/>
    <w:rPr>
      <w:rFonts w:ascii="Tahoma" w:hAnsi="Tahoma" w:cs="Tahoma"/>
      <w:color w:val="000000" w:themeColor="text1"/>
      <w:sz w:val="16"/>
      <w:szCs w:val="16"/>
      <w14:textFill>
        <w14:solidFill>
          <w14:schemeClr w14:val="tx1"/>
        </w14:solidFill>
      </w14:textFill>
    </w:rPr>
  </w:style>
  <w:style w:type="table" w:styleId="61">
    <w:name w:val="Table Grid"/>
    <w:basedOn w:val="35"/>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2">
    <w:name w:val="Tableau Car"/>
    <w:basedOn w:val="42"/>
    <w:link w:val="40"/>
    <w:qFormat/>
    <w:uiPriority w:val="22"/>
    <w:rPr>
      <w:rFonts w:ascii="Marianne" w:hAnsi="Marianne" w:eastAsia="Times New Roman" w:cs="Times New Roman"/>
      <w:color w:val="000000" w:themeColor="text1"/>
      <w:sz w:val="20"/>
      <w:szCs w:val="20"/>
      <w:lang w:eastAsia="fr-FR"/>
      <w14:textFill>
        <w14:solidFill>
          <w14:schemeClr w14:val="tx1"/>
        </w14:solidFill>
      </w14:textFill>
    </w:rPr>
  </w:style>
  <w:style w:type="paragraph" w:customStyle="1" w:styleId="63">
    <w:name w:val="Image"/>
    <w:basedOn w:val="1"/>
    <w:next w:val="22"/>
    <w:link w:val="65"/>
    <w:qFormat/>
    <w:uiPriority w:val="24"/>
    <w:pPr>
      <w:keepNext/>
      <w:jc w:val="center"/>
    </w:pPr>
    <w:rPr>
      <w:lang w:eastAsia="fr-FR"/>
    </w:rPr>
  </w:style>
  <w:style w:type="paragraph" w:customStyle="1" w:styleId="64">
    <w:name w:val="Encadré"/>
    <w:basedOn w:val="1"/>
    <w:link w:val="66"/>
    <w:qFormat/>
    <w:uiPriority w:val="19"/>
    <w:pPr>
      <w:pBdr>
        <w:top w:val="single" w:color="3891AF" w:themeColor="accent5" w:themeShade="BF" w:sz="6" w:space="1"/>
        <w:left w:val="single" w:color="3891AF" w:themeColor="accent5" w:themeShade="BF" w:sz="6" w:space="4"/>
        <w:bottom w:val="single" w:color="3891AF" w:themeColor="accent5" w:themeShade="BF" w:sz="6" w:space="1"/>
        <w:right w:val="single" w:color="3891AF" w:themeColor="accent5" w:themeShade="BF" w:sz="6" w:space="4"/>
      </w:pBdr>
      <w:shd w:val="clear" w:color="auto" w:fill="CDE5F6" w:themeFill="accent2"/>
    </w:pPr>
  </w:style>
  <w:style w:type="character" w:customStyle="1" w:styleId="65">
    <w:name w:val="Image Car"/>
    <w:basedOn w:val="11"/>
    <w:link w:val="63"/>
    <w:qFormat/>
    <w:uiPriority w:val="24"/>
    <w:rPr>
      <w:color w:val="000000"/>
      <w:szCs w:val="21"/>
      <w:lang w:eastAsia="fr-FR"/>
    </w:rPr>
  </w:style>
  <w:style w:type="character" w:customStyle="1" w:styleId="66">
    <w:name w:val="Encadré Car"/>
    <w:basedOn w:val="11"/>
    <w:link w:val="64"/>
    <w:qFormat/>
    <w:uiPriority w:val="19"/>
    <w:rPr>
      <w:rFonts w:ascii="Marianne" w:hAnsi="Marianne"/>
      <w:color w:val="000000" w:themeColor="text1"/>
      <w:szCs w:val="21"/>
      <w:shd w:val="clear" w:color="auto" w:fill="CDE5F6" w:themeFill="accent2"/>
      <w14:textFill>
        <w14:solidFill>
          <w14:schemeClr w14:val="tx1"/>
        </w14:solidFill>
      </w14:textFill>
    </w:rPr>
  </w:style>
  <w:style w:type="paragraph" w:customStyle="1" w:styleId="67">
    <w:name w:val="Par. av liste"/>
    <w:basedOn w:val="1"/>
    <w:next w:val="31"/>
    <w:link w:val="69"/>
    <w:qFormat/>
    <w:uiPriority w:val="10"/>
    <w:pPr>
      <w:keepNext/>
    </w:pPr>
  </w:style>
  <w:style w:type="paragraph" w:customStyle="1" w:styleId="68">
    <w:name w:val="Décide"/>
    <w:basedOn w:val="1"/>
    <w:link w:val="71"/>
    <w:semiHidden/>
    <w:qFormat/>
    <w:uiPriority w:val="2"/>
    <w:pPr>
      <w:keepNext/>
      <w:spacing w:before="360" w:after="240"/>
    </w:pPr>
    <w:rPr>
      <w:b/>
    </w:rPr>
  </w:style>
  <w:style w:type="character" w:customStyle="1" w:styleId="69">
    <w:name w:val="Par. av liste Car"/>
    <w:basedOn w:val="11"/>
    <w:link w:val="67"/>
    <w:qFormat/>
    <w:uiPriority w:val="10"/>
    <w:rPr>
      <w:color w:val="000000"/>
      <w:szCs w:val="21"/>
    </w:rPr>
  </w:style>
  <w:style w:type="paragraph" w:customStyle="1" w:styleId="70">
    <w:name w:val="Fonction signataire"/>
    <w:basedOn w:val="30"/>
    <w:next w:val="30"/>
    <w:link w:val="73"/>
    <w:semiHidden/>
    <w:qFormat/>
    <w:uiPriority w:val="4"/>
    <w:pPr>
      <w:keepNext/>
      <w:spacing w:before="120" w:after="840"/>
    </w:pPr>
  </w:style>
  <w:style w:type="character" w:customStyle="1" w:styleId="71">
    <w:name w:val="Décide Car"/>
    <w:basedOn w:val="11"/>
    <w:link w:val="68"/>
    <w:semiHidden/>
    <w:qFormat/>
    <w:uiPriority w:val="2"/>
    <w:rPr>
      <w:b/>
      <w:color w:val="000000"/>
      <w:szCs w:val="21"/>
    </w:rPr>
  </w:style>
  <w:style w:type="paragraph" w:customStyle="1" w:styleId="72">
    <w:name w:val="Lieu et date"/>
    <w:basedOn w:val="1"/>
    <w:next w:val="70"/>
    <w:link w:val="74"/>
    <w:semiHidden/>
    <w:qFormat/>
    <w:uiPriority w:val="3"/>
    <w:pPr>
      <w:keepNext/>
      <w:spacing w:before="360"/>
    </w:pPr>
  </w:style>
  <w:style w:type="character" w:customStyle="1" w:styleId="73">
    <w:name w:val="Fonction signataire Car"/>
    <w:basedOn w:val="59"/>
    <w:link w:val="70"/>
    <w:semiHidden/>
    <w:qFormat/>
    <w:uiPriority w:val="4"/>
    <w:rPr>
      <w:color w:val="000000"/>
      <w:szCs w:val="21"/>
    </w:rPr>
  </w:style>
  <w:style w:type="character" w:customStyle="1" w:styleId="74">
    <w:name w:val="Lieu et date Car"/>
    <w:basedOn w:val="11"/>
    <w:link w:val="72"/>
    <w:semiHidden/>
    <w:qFormat/>
    <w:uiPriority w:val="3"/>
    <w:rPr>
      <w:color w:val="000000"/>
      <w:szCs w:val="21"/>
    </w:rPr>
  </w:style>
  <w:style w:type="table" w:styleId="75">
    <w:name w:val="Light Shading"/>
    <w:basedOn w:val="35"/>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BFBFBF" w:themeFill="text1" w:themeFillTint="3F"/>
      </w:tcPr>
    </w:tblStylePr>
    <w:tblStylePr w:type="band1Horz">
      <w:tcPr>
        <w:tcBorders>
          <w:left w:val="nil"/>
          <w:right w:val="nil"/>
          <w:insideH w:val="nil"/>
          <w:insideV w:val="nil"/>
        </w:tcBorders>
        <w:shd w:val="clear" w:color="auto" w:fill="BFBFBF" w:themeFill="text1" w:themeFillTint="3F"/>
      </w:tcPr>
    </w:tblStylePr>
  </w:style>
  <w:style w:type="paragraph" w:customStyle="1" w:styleId="76">
    <w:name w:val="Délibéré"/>
    <w:basedOn w:val="1"/>
    <w:link w:val="77"/>
    <w:semiHidden/>
    <w:qFormat/>
    <w:uiPriority w:val="0"/>
    <w:pPr>
      <w:spacing w:before="360"/>
    </w:pPr>
  </w:style>
  <w:style w:type="character" w:customStyle="1" w:styleId="77">
    <w:name w:val="Délibéré Car"/>
    <w:basedOn w:val="11"/>
    <w:link w:val="76"/>
    <w:semiHidden/>
    <w:qFormat/>
    <w:uiPriority w:val="0"/>
    <w:rPr>
      <w:color w:val="000000"/>
      <w:szCs w:val="21"/>
    </w:rPr>
  </w:style>
  <w:style w:type="character" w:customStyle="1" w:styleId="78">
    <w:name w:val="Sous-titre Car"/>
    <w:basedOn w:val="11"/>
    <w:link w:val="16"/>
    <w:qFormat/>
    <w:uiPriority w:val="5"/>
    <w:rPr>
      <w:rFonts w:ascii="Marianne" w:hAnsi="Marianne" w:eastAsiaTheme="majorEastAsia" w:cstheme="majorBidi"/>
      <w:b/>
      <w:iCs/>
      <w:color w:val="3891AF" w:themeColor="accent5" w:themeShade="BF"/>
      <w:spacing w:val="15"/>
      <w:sz w:val="24"/>
      <w:szCs w:val="24"/>
    </w:rPr>
  </w:style>
  <w:style w:type="table" w:customStyle="1" w:styleId="79">
    <w:name w:val="Tableau Arcep 2"/>
    <w:basedOn w:val="58"/>
    <w:qFormat/>
    <w:uiPriority w:val="99"/>
    <w:tblPr>
      <w:tblBorders>
        <w:top w:val="single" w:color="232253" w:themeColor="text2" w:sz="4" w:space="0"/>
        <w:left w:val="single" w:color="232253" w:themeColor="text2" w:sz="4" w:space="0"/>
        <w:bottom w:val="single" w:color="232253" w:themeColor="text2" w:sz="4" w:space="0"/>
        <w:right w:val="single" w:color="232253" w:themeColor="text2" w:sz="4" w:space="0"/>
        <w:insideH w:val="single" w:color="232253" w:themeColor="text2" w:sz="4" w:space="0"/>
        <w:insideV w:val="single" w:color="232253" w:themeColor="text2" w:sz="4" w:space="0"/>
      </w:tblBorders>
    </w:tblPr>
    <w:trPr>
      <w:cantSplit/>
    </w:trPr>
    <w:tcPr>
      <w:shd w:val="clear" w:color="auto" w:fill="auto"/>
    </w:tcPr>
    <w:tblStylePr w:type="firstRow">
      <w:pPr>
        <w:jc w:val="left"/>
      </w:pPr>
      <w:rPr>
        <w:rFonts w:asciiTheme="minorHAnsi" w:hAnsiTheme="minorHAnsi"/>
        <w:b/>
        <w:color w:val="auto"/>
        <w:sz w:val="22"/>
      </w:rPr>
      <w:tcPr>
        <w:tcBorders>
          <w:bottom w:val="single" w:color="232253" w:themeColor="text2" w:sz="12" w:space="0"/>
        </w:tcBorders>
      </w:tcPr>
    </w:tblStylePr>
    <w:tblStylePr w:type="lastRow">
      <w:rPr>
        <w:b/>
        <w:bCs/>
      </w:rPr>
      <w:tcPr>
        <w:tcBorders>
          <w:tl2br w:val="nil"/>
          <w:tr2bl w:val="nil"/>
        </w:tcBorders>
      </w:tcPr>
    </w:tblStylePr>
    <w:tblStylePr w:type="lastCol">
      <w:rPr>
        <w:b/>
        <w:bCs/>
      </w:rPr>
      <w:tcPr>
        <w:tcBorders>
          <w:tl2br w:val="nil"/>
          <w:tr2bl w:val="nil"/>
        </w:tcBorders>
      </w:tcPr>
    </w:tblStylePr>
    <w:tblStylePr w:type="band1Vert">
      <w:rPr>
        <w:color w:val="auto"/>
      </w:rPr>
      <w:tcPr>
        <w:shd w:val="pct50" w:color="008080" w:fill="FFFFFF"/>
      </w:tcPr>
    </w:tblStylePr>
    <w:tblStylePr w:type="band2Vert">
      <w:rPr>
        <w:color w:val="auto"/>
      </w:rPr>
      <w:tcPr>
        <w:shd w:val="pct10" w:color="000000" w:fill="FFFFFF"/>
      </w:tcPr>
    </w:tblStylePr>
  </w:style>
  <w:style w:type="table" w:customStyle="1" w:styleId="80">
    <w:name w:val="Calendrier 1"/>
    <w:basedOn w:val="35"/>
    <w:qFormat/>
    <w:uiPriority w:val="99"/>
    <w:pPr>
      <w:spacing w:after="0" w:line="240" w:lineRule="auto"/>
    </w:pPr>
    <w:rPr>
      <w:rFonts w:eastAsiaTheme="minorEastAsia"/>
      <w:lang w:eastAsia="fr-FR"/>
    </w:rPr>
    <w:tcPr>
      <w:shd w:val="clear" w:color="auto" w:fill="auto"/>
    </w:tcPr>
    <w:tblStylePr w:type="firstRow">
      <w:pPr>
        <w:wordWrap/>
        <w:spacing w:beforeLines="0" w:beforeAutospacing="0" w:afterLines="0" w:afterAutospacing="0" w:line="240" w:lineRule="auto"/>
      </w:pPr>
      <w:rPr>
        <w:rFonts w:asciiTheme="minorHAnsi" w:hAnsiTheme="minorHAnsi"/>
        <w:b/>
        <w:i w:val="0"/>
        <w:color w:val="000000"/>
        <w:sz w:val="44"/>
      </w:rPr>
      <w:tcPr>
        <w:vAlign w:val="bottom"/>
      </w:tcPr>
    </w:tblStylePr>
    <w:tblStylePr w:type="lastRow">
      <w:tcPr>
        <w:tcBorders>
          <w:top w:val="nil"/>
          <w:left w:val="nil"/>
          <w:bottom w:val="nil"/>
          <w:right w:val="nil"/>
          <w:insideH w:val="nil"/>
          <w:insideV w:val="nil"/>
          <w:tl2br w:val="nil"/>
          <w:tr2bl w:val="nil"/>
        </w:tcBorders>
        <w:shd w:val="clear" w:color="auto" w:fill="auto"/>
      </w:tcPr>
    </w:tblStylePr>
    <w:tblStylePr w:type="band1Horz">
      <w:tcPr>
        <w:tcBorders>
          <w:top w:val="nil"/>
          <w:left w:val="nil"/>
          <w:bottom w:val="nil"/>
          <w:right w:val="nil"/>
          <w:insideH w:val="nil"/>
          <w:insideV w:val="nil"/>
          <w:tl2br w:val="nil"/>
          <w:tr2bl w:val="nil"/>
        </w:tcBorders>
        <w:shd w:val="clear" w:color="auto" w:fill="auto"/>
      </w:tcPr>
    </w:tblStylePr>
    <w:tblStylePr w:type="band2Horz">
      <w:tcPr>
        <w:tcBorders>
          <w:top w:val="single" w:color="000000" w:themeColor="text1" w:sz="24" w:space="0"/>
          <w:left w:val="nil"/>
          <w:bottom w:val="single" w:color="000000" w:themeColor="text1" w:sz="24" w:space="0"/>
          <w:right w:val="nil"/>
          <w:insideH w:val="nil"/>
          <w:insideV w:val="nil"/>
          <w:tl2br w:val="nil"/>
          <w:tr2bl w:val="nil"/>
        </w:tcBorders>
        <w:shd w:val="clear" w:color="auto" w:fill="auto"/>
      </w:tcPr>
    </w:tblStylePr>
  </w:style>
  <w:style w:type="character" w:customStyle="1" w:styleId="81">
    <w:name w:val="Unresolved Mention"/>
    <w:basedOn w:val="11"/>
    <w:semiHidden/>
    <w:unhideWhenUsed/>
    <w:qFormat/>
    <w:uiPriority w:val="99"/>
    <w:rPr>
      <w:color w:val="605E5C"/>
      <w:shd w:val="clear" w:color="auto" w:fill="E1DFDD"/>
    </w:rPr>
  </w:style>
  <w:style w:type="paragraph" w:customStyle="1" w:styleId="82">
    <w:name w:val="TOC Heading"/>
    <w:basedOn w:val="2"/>
    <w:next w:val="1"/>
    <w:unhideWhenUsed/>
    <w:qFormat/>
    <w:uiPriority w:val="39"/>
    <w:pPr>
      <w:numPr>
        <w:ilvl w:val="0"/>
        <w:numId w:val="0"/>
      </w:numPr>
      <w:spacing w:before="240" w:after="0" w:line="259" w:lineRule="auto"/>
      <w:outlineLvl w:val="9"/>
    </w:pPr>
    <w:rPr>
      <w:rFonts w:asciiTheme="majorHAnsi" w:hAnsiTheme="majorHAnsi" w:cstheme="majorBidi"/>
      <w:b w:val="0"/>
      <w:bCs w:val="0"/>
      <w:color w:val="063B6B" w:themeColor="accent1" w:themeShade="BF"/>
      <w:sz w:val="32"/>
      <w:szCs w:val="32"/>
      <w:lang w:eastAsia="fr-FR"/>
    </w:rPr>
  </w:style>
  <w:style w:type="character" w:customStyle="1" w:styleId="83">
    <w:name w:val="Commentaire Car"/>
    <w:basedOn w:val="11"/>
    <w:link w:val="21"/>
    <w:qFormat/>
    <w:uiPriority w:val="99"/>
    <w:rPr>
      <w:rFonts w:ascii="Marianne" w:hAnsi="Marianne"/>
      <w:color w:val="000000" w:themeColor="text1"/>
      <w:sz w:val="20"/>
      <w:szCs w:val="20"/>
      <w14:textFill>
        <w14:solidFill>
          <w14:schemeClr w14:val="tx1"/>
        </w14:solidFill>
      </w14:textFill>
    </w:rPr>
  </w:style>
  <w:style w:type="character" w:customStyle="1" w:styleId="84">
    <w:name w:val="Objet du commentaire Car"/>
    <w:basedOn w:val="83"/>
    <w:link w:val="20"/>
    <w:semiHidden/>
    <w:qFormat/>
    <w:uiPriority w:val="99"/>
    <w:rPr>
      <w:rFonts w:ascii="Marianne" w:hAnsi="Marianne"/>
      <w:b/>
      <w:bCs/>
      <w:color w:val="000000" w:themeColor="text1"/>
      <w:sz w:val="20"/>
      <w:szCs w:val="20"/>
      <w14:textFill>
        <w14:solidFill>
          <w14:schemeClr w14:val="tx1"/>
        </w14:solidFill>
      </w14:textFill>
    </w:rPr>
  </w:style>
  <w:style w:type="table" w:customStyle="1" w:styleId="85">
    <w:name w:val="Grille du tableau1"/>
    <w:basedOn w:val="35"/>
    <w:qFormat/>
    <w:uiPriority w:val="59"/>
    <w:pPr>
      <w:spacing w:before="200"/>
    </w:pPr>
    <w:rPr>
      <w:rFonts w:ascii="Calibri" w:hAnsi="Calibri" w:eastAsia="MS Mincho" w:cs="Times New Roman"/>
      <w:lang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6">
    <w:name w:val="Paragraphe de liste Car"/>
    <w:basedOn w:val="11"/>
    <w:link w:val="18"/>
    <w:qFormat/>
    <w:locked/>
    <w:uiPriority w:val="34"/>
    <w:rPr>
      <w:rFonts w:ascii="Marianne" w:hAnsi="Marianne"/>
      <w:color w:val="000000" w:themeColor="text1"/>
      <w:szCs w:val="21"/>
      <w14:textFill>
        <w14:solidFill>
          <w14:schemeClr w14:val="tx1"/>
        </w14:solidFill>
      </w14:textFill>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aubert\AppData\Local\Temp\Note.dotx" TargetMode="External"/></Relationships>
</file>

<file path=word/theme/theme1.xml><?xml version="1.0" encoding="utf-8"?>
<a:theme xmlns:a="http://schemas.openxmlformats.org/drawingml/2006/main" name="ARCEP 2016">
  <a:themeElements>
    <a:clrScheme name="Arcep pivote 5">
      <a:dk1>
        <a:srgbClr val="000000"/>
      </a:dk1>
      <a:lt1>
        <a:sysClr val="window" lastClr="FFFFFF"/>
      </a:lt1>
      <a:dk2>
        <a:srgbClr val="232253"/>
      </a:dk2>
      <a:lt2>
        <a:srgbClr val="C9C0B1"/>
      </a:lt2>
      <a:accent1>
        <a:srgbClr val="084E8E"/>
      </a:accent1>
      <a:accent2>
        <a:srgbClr val="CDE5F6"/>
      </a:accent2>
      <a:accent3>
        <a:srgbClr val="E56463"/>
      </a:accent3>
      <a:accent4>
        <a:srgbClr val="6560A8"/>
      </a:accent4>
      <a:accent5>
        <a:srgbClr val="67B4CE"/>
      </a:accent5>
      <a:accent6>
        <a:srgbClr val="F07374"/>
      </a:accent6>
      <a:hlink>
        <a:srgbClr val="5AC5CD"/>
      </a:hlink>
      <a:folHlink>
        <a:srgbClr val="E67FA3"/>
      </a:folHlink>
    </a:clrScheme>
    <a:fontScheme name="ARCEP presentation">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GB.XSL" StyleName="GB7714"/>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E997C78227BE8479796583E7FE9AF5B" ma:contentTypeVersion="2" ma:contentTypeDescription="Crée un document." ma:contentTypeScope="" ma:versionID="a5c031496aa6c8657b26dc4249454a05">
  <xsd:schema xmlns:xsd="http://www.w3.org/2001/XMLSchema" xmlns:xs="http://www.w3.org/2001/XMLSchema" xmlns:p="http://schemas.microsoft.com/office/2006/metadata/properties" xmlns:ns1="http://schemas.microsoft.com/sharepoint/v3" xmlns:ns2="0fdf0f57-bdd0-4a9a-8a03-a0c3dbf46d54" targetNamespace="http://schemas.microsoft.com/office/2006/metadata/properties" ma:root="true" ma:fieldsID="3ed1a9cffdcd8414a1b97821a1ccea3e" ns1:_="" ns2:_="">
    <xsd:import namespace="http://schemas.microsoft.com/sharepoint/v3"/>
    <xsd:import namespace="0fdf0f57-bdd0-4a9a-8a03-a0c3dbf46d54"/>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e de début de parution" ma:description="La colonne de site Date de début de planification est créée par la fonctionnalité de publication. Elle permet de spécifier les date et heure auxquelles cette page apparaîtra la première fois aux visiteurs du site." ma:internalName="PublishingStartDate">
      <xsd:simpleType>
        <xsd:restriction base="dms:Unknown"/>
      </xsd:simpleType>
    </xsd:element>
    <xsd:element name="PublishingExpirationDate" ma:index="9" nillable="true" ma:displayName="Date de fin de parution" ma:description="La colonne de site Date de fin de planification est créée par la fonctionnalité de publication. Elle permet de spécifier les date et heure auxquelles cette page n'apparaîtra plus aux visiteurs du sit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fdf0f57-bdd0-4a9a-8a03-a0c3dbf46d54"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8A3389-DF36-4402-ADA3-010DFF3EF199}">
  <ds:schemaRefs/>
</ds:datastoreItem>
</file>

<file path=customXml/itemProps3.xml><?xml version="1.0" encoding="utf-8"?>
<ds:datastoreItem xmlns:ds="http://schemas.openxmlformats.org/officeDocument/2006/customXml" ds:itemID="{A0530E89-1C9A-44F1-90C5-D7AACBA2412F}">
  <ds:schemaRefs/>
</ds:datastoreItem>
</file>

<file path=customXml/itemProps4.xml><?xml version="1.0" encoding="utf-8"?>
<ds:datastoreItem xmlns:ds="http://schemas.openxmlformats.org/officeDocument/2006/customXml" ds:itemID="{5E193B2E-45AF-42E9-9481-39C16DD46B08}">
  <ds:schemaRefs/>
</ds:datastoreItem>
</file>

<file path=customXml/itemProps5.xml><?xml version="1.0" encoding="utf-8"?>
<ds:datastoreItem xmlns:ds="http://schemas.openxmlformats.org/officeDocument/2006/customXml" ds:itemID="{A89BC212-C914-43CE-BE69-C6A0A3F0AE7D}">
  <ds:schemaRefs/>
</ds:datastoreItem>
</file>

<file path=docProps/app.xml><?xml version="1.0" encoding="utf-8"?>
<Properties xmlns="http://schemas.openxmlformats.org/officeDocument/2006/extended-properties" xmlns:vt="http://schemas.openxmlformats.org/officeDocument/2006/docPropsVTypes">
  <Template>Note.dotx</Template>
  <Company>ARCEP</Company>
  <Pages>10</Pages>
  <Words>2805</Words>
  <Characters>15430</Characters>
  <Lines>128</Lines>
  <Paragraphs>36</Paragraphs>
  <TotalTime>11</TotalTime>
  <ScaleCrop>false</ScaleCrop>
  <LinksUpToDate>false</LinksUpToDate>
  <CharactersWithSpaces>18199</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2025-01-06T09:32:00Z</dcterms:created>
  <dc:creator>Anais Aubert</dc:creator>
  <cp:lastModifiedBy>Bernard Velez</cp:lastModifiedBy>
  <cp:lastPrinted>2026-03-05T07:11:00Z</cp:lastPrinted>
  <dcterms:modified xsi:type="dcterms:W3CDTF">2026-03-05T08:43:49Z</dcterms:modified>
  <dc:title>Modèle Note IGN</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0x0101004E997C78227BE8479796583E7FE9AF5B</vt:lpwstr>
  </property>
  <property fmtid="{D5CDD505-2E9C-101B-9397-08002B2CF9AE}" pid="3" name="KSOProductBuildVer">
    <vt:lpwstr>1036-12.2.0.23196</vt:lpwstr>
  </property>
  <property fmtid="{D5CDD505-2E9C-101B-9397-08002B2CF9AE}" pid="4" name="ICV">
    <vt:lpwstr>D8F14CB0B51244DAB5B9E0CB5F4CD28F_12</vt:lpwstr>
  </property>
</Properties>
</file>